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4306"/>
      </w:tblGrid>
      <w:tr w:rsidR="0007420D" w14:paraId="60653CCC" w14:textId="77777777">
        <w:tblPrEx>
          <w:tblCellMar>
            <w:top w:w="0" w:type="dxa"/>
            <w:bottom w:w="0" w:type="dxa"/>
          </w:tblCellMar>
        </w:tblPrEx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3B0D37FE" w14:textId="3DCDABB2" w:rsidR="0007420D" w:rsidRDefault="00F3345A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4E3E2170" wp14:editId="30B01C66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2332470" w14:textId="77777777" w:rsidR="00F3345A" w:rsidRPr="00F3345A" w:rsidRDefault="00F3345A" w:rsidP="00F3345A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E3E217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62332470" w14:textId="77777777" w:rsidR="00F3345A" w:rsidRPr="00F3345A" w:rsidRDefault="00F3345A" w:rsidP="00F3345A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0529F0CE" w14:textId="77777777" w:rsidR="0007420D" w:rsidRDefault="00000000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3507C708" w14:textId="77777777" w:rsidR="0007420D" w:rsidRDefault="00000000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FICHA DE ESPECIFICACIÓN TÉCNICA</w:t>
            </w:r>
          </w:p>
          <w:p w14:paraId="066B6097" w14:textId="77777777" w:rsidR="0007420D" w:rsidRDefault="00000000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6"/>
                <w:szCs w:val="16"/>
              </w:rPr>
              <w:t>Módulo: Soluciones IA Agénticas</w:t>
            </w:r>
          </w:p>
        </w:tc>
      </w:tr>
    </w:tbl>
    <w:p w14:paraId="26DA43F0" w14:textId="77777777" w:rsidR="0007420D" w:rsidRDefault="0007420D">
      <w:pPr>
        <w:spacing w:after="100"/>
      </w:pPr>
    </w:p>
    <w:p w14:paraId="1E6D2242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Presentación General</w:t>
      </w:r>
    </w:p>
    <w:p w14:paraId="5BC8102C" w14:textId="77777777" w:rsidR="0007420D" w:rsidRDefault="00000000">
      <w:pPr>
        <w:spacing w:after="80"/>
      </w:pPr>
      <w:r>
        <w:rPr>
          <w:rFonts w:ascii="Arial" w:eastAsia="Arial" w:hAnsi="Arial" w:cs="Arial"/>
          <w:color w:val="444444"/>
        </w:rPr>
        <w:t>VOGO eBS AI Agentic Solutions es el módulo de inteligencia artificial integrado de forma nativa en la plataforma VOGO eBS, diseñado para automatizar la comunicación, asistir a los usuarios en tiempo real y orquestar flujos de trabajo complejos en entornos enterprise. La solución combina LLMs de última generación con arquitecturas de IA agéntica — RAG, LangChain, LangGraph y MCP — proporcionando a las organizaciones capacidades de IA avanzadas sin dependencia de plataformas de terceros.</w:t>
      </w:r>
    </w:p>
    <w:p w14:paraId="25214BCA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Arquitectura Técnica &amp; Stack LLM</w:t>
      </w:r>
    </w:p>
    <w:p w14:paraId="09655C21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Proveedores LLM Soportados</w:t>
      </w:r>
    </w:p>
    <w:p w14:paraId="108C0601" w14:textId="77777777" w:rsidR="0007420D" w:rsidRPr="00B60090" w:rsidRDefault="00000000">
      <w:pPr>
        <w:spacing w:after="80"/>
        <w:rPr>
          <w:sz w:val="18"/>
          <w:szCs w:val="18"/>
        </w:rPr>
      </w:pPr>
      <w:r>
        <w:rPr>
          <w:rFonts w:ascii="Arial" w:eastAsia="Arial" w:hAnsi="Arial" w:cs="Arial"/>
          <w:color w:val="444444"/>
          <w:sz w:val="18"/>
          <w:szCs w:val="18"/>
        </w:rPr>
        <w:t>La plataforma soporta la configuración y conmutación en tiempo real entre múltiples proveedores LLM, sin cambios de código:</w:t>
      </w:r>
    </w:p>
    <w:p w14:paraId="66CF07B0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Anthropic (Claude) — razonamiento avanzado, contexto extendido, seguridad enterprise</w:t>
      </w:r>
    </w:p>
    <w:p w14:paraId="2F66D50A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OpenAI (GPT-4o, GPT-4 Turbo) — modelo de referencia para aplicaciones conversacionales</w:t>
      </w:r>
    </w:p>
    <w:p w14:paraId="17079BE7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Google Gemini — integración nativa con el ecosistema Google Workspace</w:t>
      </w:r>
    </w:p>
    <w:p w14:paraId="19F4BA65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Ollama — ejecutar modelos open-source (LLaMA, Mistral, Qwen) localmente, on-premise, sin costos por token</w:t>
      </w:r>
    </w:p>
    <w:p w14:paraId="5C9F877C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Groq — inferencia ultrarrápida para escenarios con latencia crítica</w:t>
      </w:r>
    </w:p>
    <w:p w14:paraId="6F1D953B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xAI (Grok) — modelo alternativo para casos de uso específicos</w:t>
      </w:r>
    </w:p>
    <w:p w14:paraId="5CF2FBEE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Mistral — modelo europeo, relevante para cumplimiento RGPD estricto</w:t>
      </w:r>
    </w:p>
    <w:p w14:paraId="70B7D145" w14:textId="77777777" w:rsidR="0007420D" w:rsidRPr="00B6009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OpenRouter — pasarela unificada para acceso a docenas de modelos a través de una única API</w:t>
      </w:r>
    </w:p>
    <w:p w14:paraId="56E42EEA" w14:textId="77777777" w:rsidR="0007420D" w:rsidRDefault="0007420D">
      <w:pPr>
        <w:spacing w:after="100"/>
      </w:pPr>
    </w:p>
    <w:p w14:paraId="0AE8A1C0" w14:textId="77777777" w:rsidR="0007420D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333F2CE2" wp14:editId="3BB6F09C">
            <wp:extent cx="5048250" cy="2276475"/>
            <wp:effectExtent l="19050" t="19050" r="19050" b="28575"/>
            <wp:docPr id="1" name="screenshot" descr="Screenshot platforma VOGO eBS" title="Screen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764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991F4F4" w14:textId="77777777" w:rsidR="0007420D" w:rsidRDefault="00000000">
      <w:pPr>
        <w:spacing w:before="8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1 — Configuración del proveedor IA activo desde la interfaz VOGO eBS AI Provider</w:t>
      </w:r>
    </w:p>
    <w:p w14:paraId="0F6F02F2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Componentes Arquitectónicos</w:t>
      </w:r>
    </w:p>
    <w:p w14:paraId="30D0AA46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LangChain — abstracción de proveedor LLM, RAG/Retrievers, Output Parsers, Tool Use</w:t>
      </w:r>
    </w:p>
    <w:p w14:paraId="50210749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LangGraph — orquestación de flujos agénticos con estado (máquinas de estado), bucles, condiciones, retry logic, Human-in-the-Loop</w:t>
      </w:r>
    </w:p>
    <w:p w14:paraId="1E215CC7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LangSmith — observabilidad completa: trazado de llamadas, testing/evals, monitoreo de producción, versionado de prompts</w:t>
      </w:r>
    </w:p>
    <w:p w14:paraId="00F10F4B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RAG (Retrieval-Augmented Generation) — bases de conocimiento propias sin re-entrenamiento; recuperación de top-K chunks → respuesta contextual precisa</w:t>
      </w:r>
    </w:p>
    <w:p w14:paraId="68DACA78" w14:textId="5D311F2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MCP (Model Context Protocol) — estándar abierto para conectar agentes a herramientas y fuentes externas (ERP, CRM, DMS, calendarios); Embeddings + Base de Datos Vectorial — indexación semántica de documentos (Pinecone, ChromaDB, pgvector) para búsqueda contextual instantánea</w:t>
      </w:r>
    </w:p>
    <w:p w14:paraId="2C9657CE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Capacidades Funcionales</w:t>
      </w:r>
    </w:p>
    <w:p w14:paraId="1EB33721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AI Live Assistant — Asistente Integrado en Formularios</w:t>
      </w:r>
    </w:p>
    <w:p w14:paraId="5C56B6CB" w14:textId="77777777" w:rsidR="0007420D" w:rsidRPr="00B60090" w:rsidRDefault="00000000">
      <w:pPr>
        <w:spacing w:after="80"/>
        <w:rPr>
          <w:sz w:val="18"/>
          <w:szCs w:val="18"/>
        </w:rPr>
      </w:pPr>
      <w:r>
        <w:rPr>
          <w:rFonts w:ascii="Arial" w:eastAsia="Arial" w:hAnsi="Arial" w:cs="Arial"/>
          <w:color w:val="444444"/>
          <w:sz w:val="18"/>
          <w:szCs w:val="18"/>
        </w:rPr>
        <w:t>La plataforma incluye un asistente IA integrado de forma nativa en el módulo de Formularios que guía a los usuarios en la creación y cumplimentación de formularios digitales en tiempo real.</w:t>
      </w:r>
    </w:p>
    <w:p w14:paraId="05AF605E" w14:textId="77777777" w:rsidR="0007420D" w:rsidRDefault="0007420D">
      <w:pPr>
        <w:spacing w:after="100"/>
      </w:pPr>
    </w:p>
    <w:p w14:paraId="3410A8BA" w14:textId="77777777" w:rsidR="0007420D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1C7D6C57" wp14:editId="5B3EE3AC">
            <wp:extent cx="5048250" cy="2276475"/>
            <wp:effectExtent l="19050" t="19050" r="19050" b="28575"/>
            <wp:docPr id="55557416" name="screenshot" descr="Screenshot platforma VOGO eBS" title="Screen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764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E25B258" w14:textId="77777777" w:rsidR="0007420D" w:rsidRDefault="00000000">
      <w:pPr>
        <w:spacing w:before="8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2 — AI Live Assistant activo en el módulo VOGO eBS Forms</w:t>
      </w:r>
    </w:p>
    <w:p w14:paraId="0737E4D1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AI Live Support — Soporte Inteligente en Servicios</w:t>
      </w:r>
    </w:p>
    <w:p w14:paraId="0651C95F" w14:textId="77777777" w:rsidR="0007420D" w:rsidRDefault="00000000">
      <w:pPr>
        <w:spacing w:after="80"/>
      </w:pPr>
      <w:r>
        <w:rPr>
          <w:rFonts w:ascii="Arial" w:eastAsia="Arial" w:hAnsi="Arial" w:cs="Arial"/>
          <w:color w:val="444444"/>
        </w:rPr>
        <w:t>El módulo de servicios se beneficia de una capa de soporte IA en vivo que asiste a operadores y ciudadanos en la navegación de flujos de servicios digitales, reduciendo los tiempos de resolución y el volumen de solicitudes manuales.</w:t>
      </w:r>
    </w:p>
    <w:p w14:paraId="0AA6F1C5" w14:textId="77777777" w:rsidR="0007420D" w:rsidRDefault="0007420D">
      <w:pPr>
        <w:spacing w:after="100"/>
      </w:pPr>
    </w:p>
    <w:p w14:paraId="4195C525" w14:textId="77777777" w:rsidR="0007420D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52BB74A2" wp14:editId="250C037A">
            <wp:extent cx="5048250" cy="2276475"/>
            <wp:effectExtent l="19050" t="19050" r="19050" b="28575"/>
            <wp:docPr id="29616929" name="screenshot" descr="Screenshot platforma VOGO eBS" title="Screensho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7647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9B8E739" w14:textId="77777777" w:rsidR="0007420D" w:rsidRDefault="00000000">
      <w:pPr>
        <w:spacing w:before="8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Fig. 3 — AI Live Support activo en el módulo VOGO eBS Services</w:t>
      </w:r>
    </w:p>
    <w:p w14:paraId="358B33D3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Chatbot &amp; Automatización de la Comunicación</w:t>
      </w:r>
    </w:p>
    <w:p w14:paraId="384FEF62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Chatbot basado en IA conversacional con reconocimiento de texto y voz, comportamiento similar al humano</w:t>
      </w:r>
    </w:p>
    <w:p w14:paraId="6D9F523F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Funcionamiento íntegro on-premise, sin dependencia de servicios cloud externos</w:t>
      </w:r>
    </w:p>
    <w:p w14:paraId="14233E50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Módulo NLU (Natural Language Understanding) propietario para reconocimiento de intenciones y entidades</w:t>
      </w:r>
    </w:p>
    <w:p w14:paraId="271A4D9E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Módulo Q&amp;A configurable por administradores sin escribir código</w:t>
      </w:r>
    </w:p>
    <w:p w14:paraId="372075F9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Mensaje de bienvenida personalizado enviado automáticamente al abrir la sesión de chat</w:t>
      </w:r>
    </w:p>
    <w:p w14:paraId="735AA78C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Aplicación web para el canal chat, integrable en cualquier página HTML</w:t>
      </w:r>
    </w:p>
    <w:p w14:paraId="77DA9ABF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Flujos Human-in-the-Loop (HITL): el agente IA propone, el operador humano aprueba o interviene</w:t>
      </w:r>
    </w:p>
    <w:p w14:paraId="186F7904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Canales de Comunicación Soportados</w:t>
      </w:r>
    </w:p>
    <w:p w14:paraId="07824A06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Chat web — widget integrable en cualquier página HTML</w:t>
      </w:r>
    </w:p>
    <w:p w14:paraId="2C5E8B2B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E-mail — procesamiento y respuesta automáticos</w:t>
      </w:r>
    </w:p>
    <w:p w14:paraId="420DB2EF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SMS — notificaciones e interacciones bidireccionales</w:t>
      </w:r>
    </w:p>
    <w:p w14:paraId="22964B26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Redes sociales — integración configurable por administrador (Facebook, WhatsApp y otros)</w:t>
      </w:r>
    </w:p>
    <w:p w14:paraId="7ACDBFDA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Arquitectura multi-canal extensible para canales adicionales</w:t>
      </w:r>
    </w:p>
    <w:p w14:paraId="4246003D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Gestión de Usuarios &amp; SSO</w:t>
      </w:r>
    </w:p>
    <w:p w14:paraId="1283E952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Modos de interacción diferenciados para usuarios internos y externos</w:t>
      </w:r>
    </w:p>
    <w:p w14:paraId="1CEAB9A4" w14:textId="359FEA57" w:rsidR="0007420D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 xml:space="preserve">Cuenta externa anónima (basada en cookie de navegador) o autenticada con usuario/contraseña; </w:t>
      </w:r>
      <w:r>
        <w:rPr>
          <w:b/>
          <w:bCs/>
          <w:color w:val="0070C0"/>
        </w:rPr>
        <w:t xml:space="preserve"> </w:t>
      </w:r>
      <w:r>
        <w:rPr>
          <w:rFonts w:ascii="Arial" w:eastAsia="Arial" w:hAnsi="Arial" w:cs="Arial"/>
          <w:color w:val="444444"/>
        </w:rPr>
        <w:t>Sincronización con el sistema SSO existente — los usuarios internos no gestionan múltiples cuentas; Creación de nuevo proyecto chatbot disponible para el administrador principal de la plataforma</w:t>
      </w:r>
    </w:p>
    <w:p w14:paraId="73E07ADA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El administrador de proyecto configura las integraciones con sistemas externos y canales sociales</w:t>
      </w:r>
    </w:p>
    <w:p w14:paraId="05D5F8D5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Capacidades IA Avanzadas</w:t>
      </w:r>
    </w:p>
    <w:p w14:paraId="7CB7ABC3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Procesamiento &amp; Extracción de Documentos</w:t>
      </w:r>
    </w:p>
    <w:p w14:paraId="2D45545F" w14:textId="77777777" w:rsidR="0007420D" w:rsidRPr="00966BC0" w:rsidRDefault="00000000">
      <w:pPr>
        <w:spacing w:after="60"/>
        <w:rPr>
          <w:noProof/>
          <w:sz w:val="18"/>
          <w:szCs w:val="18"/>
        </w:rPr>
      </w:pPr>
      <w:r>
        <w:rPr>
          <w:b/>
          <w:bCs/>
          <w:noProof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noProof/>
          <w:color w:val="444444"/>
          <w:sz w:val="18"/>
          <w:szCs w:val="18"/>
        </w:rPr>
        <w:t>Ingestión automática de PDF, Word, HTML, CSV, Notion, Confluence mediante LangChain Document Loaders</w:t>
      </w:r>
    </w:p>
    <w:p w14:paraId="57C29627" w14:textId="77777777" w:rsidR="0007420D" w:rsidRPr="00966BC0" w:rsidRDefault="00000000">
      <w:pPr>
        <w:spacing w:after="60"/>
        <w:rPr>
          <w:noProof/>
          <w:sz w:val="18"/>
          <w:szCs w:val="18"/>
        </w:rPr>
      </w:pPr>
      <w:r>
        <w:rPr>
          <w:b/>
          <w:bCs/>
          <w:noProof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noProof/>
          <w:color w:val="444444"/>
          <w:sz w:val="18"/>
          <w:szCs w:val="18"/>
        </w:rPr>
        <w:t>OCR para documentos escaneados (Tesseract, AWS Textract, Google Document AI)</w:t>
      </w:r>
    </w:p>
    <w:p w14:paraId="5F07479C" w14:textId="77777777" w:rsidR="0007420D" w:rsidRPr="00966BC0" w:rsidRDefault="00000000">
      <w:pPr>
        <w:spacing w:after="60"/>
        <w:rPr>
          <w:noProof/>
          <w:sz w:val="18"/>
          <w:szCs w:val="18"/>
        </w:rPr>
      </w:pPr>
      <w:r>
        <w:rPr>
          <w:b/>
          <w:bCs/>
          <w:noProof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noProof/>
          <w:color w:val="444444"/>
          <w:sz w:val="18"/>
          <w:szCs w:val="18"/>
        </w:rPr>
        <w:t>Fragmentación inteligente: RecursiveCharacterTextSplitter, TokenTextSplitter, SemanticChunker</w:t>
      </w:r>
    </w:p>
    <w:p w14:paraId="355305A9" w14:textId="77777777" w:rsidR="0007420D" w:rsidRPr="00966BC0" w:rsidRDefault="00000000">
      <w:pPr>
        <w:spacing w:after="60"/>
        <w:rPr>
          <w:noProof/>
          <w:sz w:val="18"/>
          <w:szCs w:val="18"/>
        </w:rPr>
      </w:pPr>
      <w:r>
        <w:rPr>
          <w:b/>
          <w:bCs/>
          <w:noProof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noProof/>
          <w:color w:val="444444"/>
          <w:sz w:val="18"/>
          <w:szCs w:val="18"/>
        </w:rPr>
        <w:t>Extracción de metadatos para filtrado y recuperación contextual en sistemas enterprise con miles de documentos</w:t>
      </w:r>
    </w:p>
    <w:p w14:paraId="4D0D0401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Memoria &amp; Caché</w:t>
      </w:r>
    </w:p>
    <w:p w14:paraId="075F6B84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Conversation Memory (Buffer, Window, Summary) — persistencia del contexto en chatbots</w:t>
      </w:r>
    </w:p>
    <w:p w14:paraId="72AC4F90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Memoria Semántica — recuerdos relevantes de sesiones anteriores para personalización</w:t>
      </w:r>
    </w:p>
    <w:p w14:paraId="57753262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Prompt Caching — descuento del 90% (Anthropic) / 75% (Google) en system prompts repetidos</w:t>
      </w:r>
    </w:p>
    <w:p w14:paraId="461AC92B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LangGraph Checkpointing — memoria persistente entre sesiones sin código personalizado</w:t>
      </w:r>
    </w:p>
    <w:p w14:paraId="0CA46239" w14:textId="77777777" w:rsidR="0007420D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Optimización de Costos &amp; Rendimiento</w:t>
      </w:r>
    </w:p>
    <w:p w14:paraId="1958D1E4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Patrones Router — consultas simples → modelos ligeros; consultas complejas → modelos premium (reducción de costos 60-80%)</w:t>
      </w:r>
    </w:p>
    <w:p w14:paraId="7F78DF9B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Async &amp; Batching — procesamiento paralelo, Anthropic Batch API (50% descuento vs tiempo real)</w:t>
      </w:r>
    </w:p>
    <w:p w14:paraId="5B273DF6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Cuantización (GGUF, GPTQ, AWQ) — ejecución de modelos grandes en hardware estándar</w:t>
      </w:r>
    </w:p>
    <w:p w14:paraId="0B80DB90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Structured Output / Pydantic — respuestas JSON validadas automáticamente, sin parsing frágil</w:t>
      </w:r>
    </w:p>
    <w:p w14:paraId="6973EAF1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5. Seguridad &amp; Cumplimiento</w:t>
      </w:r>
    </w:p>
    <w:p w14:paraId="1F091245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PII Detection &amp; Redaction (Presidio, AWS Comprehend) — enmascaramiento automático de datos personales antes del envío al LLM cloud</w:t>
      </w:r>
    </w:p>
    <w:p w14:paraId="3A0E9811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Guardrails (NeMo Guardrails, LlamaGuard) — reglas de comportamiento configurables: temas prohibidos, detección de contenido tóxico</w:t>
      </w:r>
    </w:p>
    <w:p w14:paraId="5CEC8417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Protección contra Prompt Injection — saneamiento de entrada, validación de salida, system prompt robusto</w:t>
      </w:r>
    </w:p>
    <w:p w14:paraId="78943DDE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Rate Limiting &amp; Auth — autenticación por usuario, limitación RPM/TPM, registro de auditoría completo</w:t>
      </w:r>
    </w:p>
    <w:p w14:paraId="6A1673D8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Pipelines de validación de salida — scoring de confianza, detección de alucinaciones, verificación de fuentes</w:t>
      </w:r>
    </w:p>
    <w:p w14:paraId="7A670B98" w14:textId="77777777" w:rsidR="0007420D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Cumplimiento RGPD — datos procesados localmente (Ollama on-premise), sin exfiltración de datos</w:t>
      </w:r>
    </w:p>
    <w:p w14:paraId="5E34B629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Opciones de Despliegue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64"/>
        <w:gridCol w:w="7342"/>
      </w:tblGrid>
      <w:tr w:rsidR="0007420D" w14:paraId="141A537E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3D2B1F" w14:textId="77777777" w:rsidR="0007420D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Cloud (SaaS)</w:t>
            </w:r>
          </w:p>
        </w:tc>
        <w:tc>
          <w:tcPr>
            <w:tcW w:w="746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AC1123" w14:textId="77777777" w:rsidR="0007420D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Despliegue gestionado en infraestructura cloud; escalado automático, cero gestión de servidores</w:t>
            </w:r>
          </w:p>
        </w:tc>
      </w:tr>
      <w:tr w:rsidR="0007420D" w14:paraId="10CA36FB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01D247" w14:textId="77777777" w:rsidR="0007420D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On-Premise</w:t>
            </w:r>
          </w:p>
        </w:tc>
        <w:tc>
          <w:tcPr>
            <w:tcW w:w="746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CCEE6" w14:textId="77777777" w:rsidR="0007420D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Instalación en infraestructura propia; los datos no salen de la organización; ideal para RGPD estricto</w:t>
            </w:r>
          </w:p>
        </w:tc>
      </w:tr>
      <w:tr w:rsidR="0007420D" w14:paraId="7B2712B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AC0477" w14:textId="77777777" w:rsidR="0007420D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Hybrid</w:t>
            </w:r>
          </w:p>
        </w:tc>
        <w:tc>
          <w:tcPr>
            <w:tcW w:w="746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34156F" w14:textId="77777777" w:rsidR="0007420D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LLM local (Ollama) + orquestación cloud; equilibrio costo-cumplimiento</w:t>
            </w:r>
          </w:p>
        </w:tc>
      </w:tr>
      <w:tr w:rsidR="0007420D" w14:paraId="03EAF11C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50717E8" w14:textId="77777777" w:rsidR="0007420D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SageMaker (AWS)</w:t>
            </w:r>
          </w:p>
        </w:tc>
        <w:tc>
          <w:tcPr>
            <w:tcW w:w="746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2CF620" w14:textId="77777777" w:rsidR="0007420D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Despliegue de modelos fine-tuned en AWS; autoscaling, Spot Instances, costo optimizado</w:t>
            </w:r>
          </w:p>
        </w:tc>
      </w:tr>
      <w:tr w:rsidR="0007420D" w14:paraId="4B85833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307D96" w14:textId="77777777" w:rsidR="0007420D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Docker / Lambda</w:t>
            </w:r>
          </w:p>
        </w:tc>
        <w:tc>
          <w:tcPr>
            <w:tcW w:w="746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4EC918" w14:textId="77777777" w:rsidR="0007420D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Arquitectura serverless; Lambda + endpoint SageMaker; sin servidores que gestionar</w:t>
            </w:r>
          </w:p>
        </w:tc>
      </w:tr>
    </w:tbl>
    <w:p w14:paraId="5C08E672" w14:textId="77777777" w:rsidR="0007420D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Integraciones Soportadas</w:t>
      </w:r>
    </w:p>
    <w:p w14:paraId="5C7D8618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VOGO Portal — asistente IA disponible directamente en el portal de la organización</w:t>
      </w:r>
    </w:p>
    <w:p w14:paraId="568E2906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VOGO Forms — AI Live Assistant para la creación y cumplimentación de formularios</w:t>
      </w:r>
    </w:p>
    <w:p w14:paraId="26C8B102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VOGO Services — AI Live Support para flujos de servicios digitales</w:t>
      </w:r>
    </w:p>
    <w:p w14:paraId="7C3B6DCB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DMS (Sistema de Gestión Documental) — acceso a documentos mediante servicios web</w:t>
      </w:r>
    </w:p>
    <w:p w14:paraId="0EEFFD4F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CRM, ERP, Ticketing — integración mediante MCP o API REST</w:t>
      </w:r>
    </w:p>
    <w:p w14:paraId="27D57D38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SAP, Oracle eBS, Microsoft D365 — conectores enterprise para datos operativos</w:t>
      </w:r>
    </w:p>
    <w:p w14:paraId="443185B1" w14:textId="77777777" w:rsidR="0007420D" w:rsidRPr="00966BC0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E-mail, SMS, Redes Sociales — canales de comunicación multi-canal</w:t>
      </w:r>
    </w:p>
    <w:p w14:paraId="3AE2A18E" w14:textId="77777777" w:rsidR="0007420D" w:rsidRDefault="0007420D">
      <w:pPr>
        <w:spacing w:after="100"/>
      </w:pPr>
    </w:p>
    <w:p w14:paraId="792AD8F6" w14:textId="1D9D4986" w:rsidR="009F0604" w:rsidRDefault="009F0604" w:rsidP="009F0604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8. Funcionalidades Adicionales</w:t>
      </w:r>
    </w:p>
    <w:p w14:paraId="7BD25335" w14:textId="4510B381" w:rsidR="009F0604" w:rsidRPr="00966BC0" w:rsidRDefault="009F0604" w:rsidP="009F0604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El módulo incluye un sistema de automatización de la comunicación con ciudadanos — un asistente IA disponible que puede mostrarse tanto directamente en el portal de la organización como en la aplicación móvil correspondiente (Android o iOS) que puede publicarse en Google Play y la App Store</w:t>
      </w:r>
    </w:p>
    <w:p w14:paraId="4ECF07D2" w14:textId="6E1703DA" w:rsidR="009F0604" w:rsidRPr="00966BC0" w:rsidRDefault="009F0604" w:rsidP="009F0604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Chatbot, basado en inteligencia artificial, programado para mantener conversaciones lo más parecidas posible al comportamiento humano, mediante reconocimiento de texto y voz.</w:t>
      </w:r>
    </w:p>
    <w:p w14:paraId="22A042AE" w14:textId="082C3335" w:rsidR="009F0604" w:rsidRDefault="009F0604" w:rsidP="000A2A0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Puede funcionar íntegramente on-premise, sin dependencia de servicios externos.</w:t>
      </w:r>
    </w:p>
    <w:p w14:paraId="2347D428" w14:textId="4316AA9C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Proporciona la capacidad de integración con múltiples canales de comunicación.</w:t>
      </w:r>
    </w:p>
    <w:p w14:paraId="47AB2E17" w14:textId="3DC16309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Para el canal de chat web, proporciona una aplicación web integrable en cualquier página HTML.</w:t>
      </w:r>
    </w:p>
    <w:p w14:paraId="6AA5B419" w14:textId="7C64B934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al administrador de proyecto activar y configurar integraciones con sistemas externos y canales de redes sociales.</w:t>
      </w:r>
    </w:p>
    <w:p w14:paraId="1D66BA9D" w14:textId="3E10C3BB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la configuración y administración fácil del contenido del asistente, sin escribir código.</w:t>
      </w:r>
    </w:p>
    <w:p w14:paraId="0FB56A0C" w14:textId="336DE394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Proporciona herramientas completas para pruebas de chatbots: prueba del flujo conversacional, de intenciones y entidades reconocidas.</w:t>
      </w:r>
    </w:p>
    <w:p w14:paraId="13B2DFB1" w14:textId="0475C131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la interacción con la solución DMS a través de sus servicios web.</w:t>
      </w:r>
    </w:p>
    <w:p w14:paraId="755242DA" w14:textId="70E648B2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la integración con soluciones de e-mail y SMS, con posibilidad de extensión para canales adicionales.</w:t>
      </w:r>
    </w:p>
    <w:p w14:paraId="0603E53B" w14:textId="6B50C109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diferentes modos de interacción para usuarios internos y externos.</w:t>
      </w:r>
    </w:p>
    <w:p w14:paraId="220BBA44" w14:textId="7B466FEA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flujos Human-in-the-Loop (HITL).</w:t>
      </w:r>
    </w:p>
    <w:p w14:paraId="2CEBEB66" w14:textId="12E0325A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la sincronización con el sistema SSO, eliminando la necesidad de gestión múltiple de cuentas para usuarios internos.</w:t>
      </w:r>
    </w:p>
    <w:p w14:paraId="584C4992" w14:textId="48A55E32" w:rsidR="00D03CB4" w:rsidRPr="00E62744" w:rsidRDefault="00D03CB4" w:rsidP="00D03CB4">
      <w:pPr>
        <w:spacing w:after="60"/>
        <w:rPr>
          <w:rFonts w:ascii="Arial" w:eastAsia="Arial" w:hAnsi="Arial" w:cs="Arial"/>
          <w:b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Incluye un módulo LLM dedicado.</w:t>
      </w:r>
    </w:p>
    <w:p w14:paraId="069CED99" w14:textId="14625EF4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Contiene un módulo NLU (Natural Language Understanding) propietario, basado en inteligencia artificial, que reconoce intenciones y entidades expresadas libremente por los usuarios.</w:t>
      </w:r>
    </w:p>
    <w:p w14:paraId="24FFF28C" w14:textId="56601D56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la configuración de un mensaje de bienvenida enviado automáticamente al abrir la ventana de chat. Permite la configuración de preguntas y respuestas predefinidas, jerárquicas, en un modelo de script conversacional.</w:t>
      </w:r>
    </w:p>
    <w:p w14:paraId="4E17C45A" w14:textId="1CEA4154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la integración con soluciones LLM consolidadas como, pero sin limitarse a: LLaMA, OpenAI, Gemini.</w:t>
      </w:r>
    </w:p>
    <w:p w14:paraId="2C229E20" w14:textId="444543F2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  <w:r>
        <w:rPr>
          <w:rFonts w:ascii="Cambria Math" w:hAnsi="Cambria Math" w:cs="Cambria Math"/>
          <w:b/>
          <w:bCs/>
          <w:color w:val="0070C0"/>
          <w:sz w:val="18"/>
          <w:szCs w:val="18"/>
        </w:rPr>
        <w:t>▸</w:t>
      </w:r>
      <w:r>
        <w:rPr>
          <w:b/>
          <w:bCs/>
          <w:color w:val="0070C0"/>
          <w:sz w:val="18"/>
          <w:szCs w:val="18"/>
        </w:rPr>
        <w:t xml:space="preserve">  </w:t>
      </w:r>
      <w:r>
        <w:rPr>
          <w:rFonts w:ascii="Arial" w:eastAsia="Arial" w:hAnsi="Arial" w:cs="Arial"/>
          <w:color w:val="444444"/>
          <w:sz w:val="18"/>
          <w:szCs w:val="18"/>
        </w:rPr>
        <w:t>Permite a cada usuario externo crear una cuenta anónima (basada en una cookie de navegador) o autenticada con su propio nombre de usuario y contraseña.</w:t>
      </w:r>
    </w:p>
    <w:p w14:paraId="3715F822" w14:textId="77777777" w:rsidR="00D03CB4" w:rsidRDefault="00D03CB4" w:rsidP="00D03CB4">
      <w:pPr>
        <w:spacing w:after="60"/>
        <w:rPr>
          <w:rFonts w:ascii="Arial" w:eastAsia="Arial" w:hAnsi="Arial" w:cs="Arial"/>
          <w:color w:val="444444"/>
          <w:sz w:val="18"/>
          <w:szCs w:val="18"/>
        </w:rPr>
      </w:pPr>
    </w:p>
    <w:p w14:paraId="1B24D911" w14:textId="77777777" w:rsidR="000A2A04" w:rsidRDefault="000A2A04" w:rsidP="000A2A04">
      <w:pPr>
        <w:spacing w:after="60"/>
      </w:pPr>
    </w:p>
    <w:sectPr w:rsidR="000A2A04">
      <w:footerReference w:type="default" r:id="rId10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6C2E37" w14:textId="77777777" w:rsidR="00DB1033" w:rsidRDefault="00DB1033" w:rsidP="00E62744">
      <w:r>
        <w:separator/>
      </w:r>
    </w:p>
  </w:endnote>
  <w:endnote w:type="continuationSeparator" w:id="0">
    <w:p w14:paraId="223F0AC3" w14:textId="77777777" w:rsidR="00DB1033" w:rsidRDefault="00DB1033" w:rsidP="00E62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53E0A" w14:textId="2E069FDC" w:rsidR="00E62744" w:rsidRDefault="00E62744" w:rsidP="00E62744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FEFB99" w14:textId="77777777" w:rsidR="00DB1033" w:rsidRDefault="00DB1033" w:rsidP="00E62744">
      <w:r>
        <w:separator/>
      </w:r>
    </w:p>
  </w:footnote>
  <w:footnote w:type="continuationSeparator" w:id="0">
    <w:p w14:paraId="7B4ADD5A" w14:textId="77777777" w:rsidR="00DB1033" w:rsidRDefault="00DB1033" w:rsidP="00E62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0665B"/>
    <w:multiLevelType w:val="hybridMultilevel"/>
    <w:tmpl w:val="EECCBB92"/>
    <w:lvl w:ilvl="0" w:tplc="614069AE">
      <w:start w:val="1"/>
      <w:numFmt w:val="bullet"/>
      <w:lvlText w:val="●"/>
      <w:lvlJc w:val="left"/>
      <w:pPr>
        <w:ind w:left="720" w:hanging="360"/>
      </w:pPr>
    </w:lvl>
    <w:lvl w:ilvl="1" w:tplc="DA8CE600">
      <w:start w:val="1"/>
      <w:numFmt w:val="bullet"/>
      <w:lvlText w:val="○"/>
      <w:lvlJc w:val="left"/>
      <w:pPr>
        <w:ind w:left="1440" w:hanging="360"/>
      </w:pPr>
    </w:lvl>
    <w:lvl w:ilvl="2" w:tplc="0EF8AAAE">
      <w:start w:val="1"/>
      <w:numFmt w:val="bullet"/>
      <w:lvlText w:val="■"/>
      <w:lvlJc w:val="left"/>
      <w:pPr>
        <w:ind w:left="2160" w:hanging="360"/>
      </w:pPr>
    </w:lvl>
    <w:lvl w:ilvl="3" w:tplc="68DAE486">
      <w:start w:val="1"/>
      <w:numFmt w:val="bullet"/>
      <w:lvlText w:val="●"/>
      <w:lvlJc w:val="left"/>
      <w:pPr>
        <w:ind w:left="2880" w:hanging="360"/>
      </w:pPr>
    </w:lvl>
    <w:lvl w:ilvl="4" w:tplc="705E5CAE">
      <w:start w:val="1"/>
      <w:numFmt w:val="bullet"/>
      <w:lvlText w:val="○"/>
      <w:lvlJc w:val="left"/>
      <w:pPr>
        <w:ind w:left="3600" w:hanging="360"/>
      </w:pPr>
    </w:lvl>
    <w:lvl w:ilvl="5" w:tplc="EECEF336">
      <w:start w:val="1"/>
      <w:numFmt w:val="bullet"/>
      <w:lvlText w:val="■"/>
      <w:lvlJc w:val="left"/>
      <w:pPr>
        <w:ind w:left="4320" w:hanging="360"/>
      </w:pPr>
    </w:lvl>
    <w:lvl w:ilvl="6" w:tplc="F7E0E422">
      <w:start w:val="1"/>
      <w:numFmt w:val="bullet"/>
      <w:lvlText w:val="●"/>
      <w:lvlJc w:val="left"/>
      <w:pPr>
        <w:ind w:left="5040" w:hanging="360"/>
      </w:pPr>
    </w:lvl>
    <w:lvl w:ilvl="7" w:tplc="88C4533A">
      <w:start w:val="1"/>
      <w:numFmt w:val="bullet"/>
      <w:lvlText w:val="●"/>
      <w:lvlJc w:val="left"/>
      <w:pPr>
        <w:ind w:left="5760" w:hanging="360"/>
      </w:pPr>
    </w:lvl>
    <w:lvl w:ilvl="8" w:tplc="719007C8">
      <w:start w:val="1"/>
      <w:numFmt w:val="bullet"/>
      <w:lvlText w:val="●"/>
      <w:lvlJc w:val="left"/>
      <w:pPr>
        <w:ind w:left="6480" w:hanging="360"/>
      </w:pPr>
    </w:lvl>
  </w:abstractNum>
  <w:num w:numId="1" w16cid:durableId="9067619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20D"/>
    <w:rsid w:val="00003DB7"/>
    <w:rsid w:val="0007420D"/>
    <w:rsid w:val="000A2A04"/>
    <w:rsid w:val="002418B7"/>
    <w:rsid w:val="0077331D"/>
    <w:rsid w:val="00966BC0"/>
    <w:rsid w:val="009F0604"/>
    <w:rsid w:val="009F4D09"/>
    <w:rsid w:val="00AA0AB3"/>
    <w:rsid w:val="00B60090"/>
    <w:rsid w:val="00D03CB4"/>
    <w:rsid w:val="00DB1033"/>
    <w:rsid w:val="00E62744"/>
    <w:rsid w:val="00F33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9A3174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0604"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6274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2744"/>
  </w:style>
  <w:style w:type="paragraph" w:styleId="Footer">
    <w:name w:val="footer"/>
    <w:basedOn w:val="Normal"/>
    <w:link w:val="FooterChar"/>
    <w:uiPriority w:val="99"/>
    <w:unhideWhenUsed/>
    <w:rsid w:val="00E6274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27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?>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1385</Words>
  <Characters>7896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16</cp:revision>
  <dcterms:created xsi:type="dcterms:W3CDTF">2026-05-28T16:43:00Z</dcterms:created>
  <dcterms:modified xsi:type="dcterms:W3CDTF">2026-05-28T17:26:00Z</dcterms:modified>
</cp:coreProperties>
</file>