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00"/>
        <w:gridCol w:w="4306"/>
      </w:tblGrid>
      <w:tr w:rsidR="00C556E0" w14:paraId="292E5152" w14:textId="77777777">
        <w:tc>
          <w:tcPr>
            <w:tcW w:w="6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B3F7F"/>
            <w:tcMar>
              <w:top w:w="200" w:type="dxa"/>
              <w:left w:w="240" w:type="dxa"/>
              <w:bottom w:w="200" w:type="dxa"/>
              <w:right w:w="240" w:type="dxa"/>
            </w:tcMar>
          </w:tcPr>
          <w:p w14:paraId="44C0438F" w14:textId="77777777" w:rsidR="00993532" w:rsidRDefault="00993532" w:rsidP="00993532">
            <w:r>
              <w:rPr>
                <w:rFonts w:ascii="Aptos Display" w:hAnsi="Aptos Display"/>
                <w:b/>
                <w:noProof/>
                <w:spacing w:val="-34"/>
                <w:sz w:val="80"/>
                <w:szCs w:val="80"/>
                <w:lang w:val="en-US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772CD633" wp14:editId="0E2247AF">
                      <wp:simplePos x="0" y="0"/>
                      <wp:positionH relativeFrom="column">
                        <wp:posOffset>582168</wp:posOffset>
                      </wp:positionH>
                      <wp:positionV relativeFrom="paragraph">
                        <wp:posOffset>-77343</wp:posOffset>
                      </wp:positionV>
                      <wp:extent cx="252095" cy="252095"/>
                      <wp:effectExtent l="0" t="0" r="0" b="0"/>
                      <wp:wrapNone/>
                      <wp:docPr id="21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2095" cy="25209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17B9CC9" w14:textId="77777777" w:rsidR="00993532" w:rsidRPr="00F3345A" w:rsidRDefault="00993532" w:rsidP="00993532">
                                  <w:pP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</w:pPr>
                                  <w: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>®</w:t>
                                  </w:r>
                                  <w:r>
                                    <w:rPr>
                                      <w:noProof/>
                                      <w:color w:val="FFFFFF" w:themeColor="background1"/>
                                      <w:lang w:val="en-US"/>
                                    </w:rPr>
                                    <w:tab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72CD63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45.85pt;margin-top:-6.1pt;width:19.85pt;height:19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O+pAP8gEAAMwDAAAOAAAAZHJzL2Uyb0RvYy54bWysU8GO0zAQvSPxD5bvNGnUwjaqu1p2WYS0 LEgLH+A4TmNhe4ztNilfz9jJdiu4IXKwZjL287w3z9vr0WhylD4osIwuFyUl0gpold0z+v3b/Zsr SkLktuUarGT0JAO93r1+tR1cLSvoQbfSEwSxoR4co32Mri6KIHppeFiAkxaLHXjDI6Z+X7SeD4hu dFGV5dtiAN86D0KGgH/vpiLdZfyukyJ+6bogI9GMYm8xrz6vTVqL3ZbXe89dr8TcBv+HLgxXFi89 Q93xyMnBq7+gjBIeAnRxIcAU0HVKyMwB2SzLP9g89dzJzAXFCe4sU/h/sOLx+OS+ehLH9zDiADOJ 4B5A/AjEwm3P7V7eeA9DL3mLFy+TZMXgQj0fTVKHOiSQZvgMLQ6ZHyJkoLHzJqmCPAmi4wBOZ9Hl GInAn9W6KjdrSgSW5jjdwOvnw86H+FGCISlg1ONMMzg/PoQ4bX3eku6ycK+0znPVlgyMbtbVOh+4 qBgV0XZaGUavyvRNRkgcP9g2H45c6SnGXrSdSSeeE+M4NiNuTOQbaE9I38NkL3wOGPTgf1EyoLUY DT8P3EtK9CeLEm6Wq1XyYk5W63cVJv6y0lxWuBUIxWikZApvY/bvxPUGpe5UluGlk7lXtEwWcrZ3 8uRlnne9PMLdbwAAAP//AwBQSwMEFAAGAAgAAAAhAM5SrxLeAAAACQEAAA8AAABkcnMvZG93bnJl di54bWxMj0FPwkAQhe8m/ofNmHiD3VYQqZ0So/GqAYXE29Id2sbubNNdaP33LCc8Tt6X977JV6Nt xYl63zhGSKYKBHHpTMMVwvfX++QJhA+ajW4dE8IfeVgVtze5zowbeE2nTahELGGfaYQ6hC6T0pc1 We2nriOO2cH1Vod49pU0vR5iuW1lqtSjtLrhuFDrjl5rKn83R4uw/Tj87Gbqs3qz825wo5JslxLx /m58eQYRaAxXGC76UR2K6LR3RzZetAjLZBFJhEmSpiAuwEMyA7FHSBdzkEUu/39QnAEAAP//AwBQ SwECLQAUAAYACAAAACEAtoM4kv4AAADhAQAAEwAAAAAAAAAAAAAAAAAAAAAAW0NvbnRlbnRfVHlw ZXNdLnhtbFBLAQItABQABgAIAAAAIQA4/SH/1gAAAJQBAAALAAAAAAAAAAAAAAAAAC8BAABfcmVs cy8ucmVsc1BLAQItABQABgAIAAAAIQBO+pAP8gEAAMwDAAAOAAAAAAAAAAAAAAAAAC4CAABkcnMv ZTJvRG9jLnhtbFBLAQItABQABgAIAAAAIQDOUq8S3gAAAAkBAAAPAAAAAAAAAAAAAAAAAEwEAABk cnMvZG93bnJldi54bWxQSwUGAAAAAAQABADzAAAAVwUAAAAA " filled="f" stroked="f">
                      <v:textbox>
                        <w:txbxContent>
                          <w:p w14:paraId="217B9CC9" w14:textId="77777777" w:rsidR="00993532" w:rsidRPr="00F3345A" w:rsidRDefault="00993532" w:rsidP="00993532">
                            <w:pP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</w:pPr>
                            <w:r>
                              <w:rPr>
                                <w:noProof/>
                                <w:color w:val="FFFFFF" w:themeColor="background1"/>
                                <w:lang w:val="en-US"/>
                              </w:rPr>
                              <w:t>®</w:t>
                              <w:tab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Arial" w:eastAsia="Arial" w:hAnsi="Arial" w:cs="Arial"/>
                <w:b/>
                <w:bCs/>
                <w:color w:val="FFFFFF"/>
                <w:sz w:val="36"/>
                <w:szCs w:val="36"/>
              </w:rPr>
              <w:t xml:space="preserve">VOGO </w:t>
            </w:r>
            <w:r>
              <w:rPr>
                <w:rFonts w:ascii="Arial" w:eastAsia="Arial" w:hAnsi="Arial" w:cs="Arial"/>
                <w:b/>
                <w:bCs/>
                <w:color w:val="7EC8F5"/>
                <w:sz w:val="36"/>
                <w:szCs w:val="36"/>
              </w:rPr>
              <w:t>eBS</w:t>
            </w:r>
          </w:p>
          <w:p w14:paraId="2915E7F9" w14:textId="1EECA2C3" w:rsidR="00C556E0" w:rsidRDefault="00993532" w:rsidP="00993532">
            <w:r>
              <w:rPr>
                <w:rFonts w:ascii="Arial" w:eastAsia="Arial" w:hAnsi="Arial" w:cs="Arial"/>
                <w:color w:val="BFD4FF"/>
                <w:sz w:val="18"/>
                <w:szCs w:val="18"/>
              </w:rPr>
              <w:t>Enterprise Business Suite</w:t>
            </w:r>
          </w:p>
        </w:tc>
        <w:tc>
          <w:tcPr>
            <w:tcW w:w="43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070C0"/>
            <w:tcMar>
              <w:top w:w="200" w:type="dxa"/>
              <w:left w:w="240" w:type="dxa"/>
              <w:bottom w:w="200" w:type="dxa"/>
              <w:right w:w="240" w:type="dxa"/>
            </w:tcMar>
            <w:vAlign w:val="center"/>
          </w:tcPr>
          <w:p w14:paraId="48710244" w14:textId="7BB4C411" w:rsidR="00C556E0" w:rsidRDefault="000827F5">
            <w:pPr>
              <w:jc w:val="right"/>
            </w:pPr>
            <w:r>
              <w:rPr>
                <w:rFonts w:ascii="Arial" w:eastAsia="Arial" w:hAnsi="Arial" w:cs="Arial"/>
                <w:b/>
                <w:bCs/>
                <w:color w:val="FFFFFF"/>
                <w:sz w:val="18"/>
                <w:szCs w:val="18"/>
              </w:rPr>
              <w:t>DATA SHEET</w:t>
            </w:r>
          </w:p>
          <w:p w14:paraId="3270B722" w14:textId="77777777" w:rsidR="00C556E0" w:rsidRDefault="00000000">
            <w:pPr>
              <w:jc w:val="right"/>
            </w:pPr>
            <w:r>
              <w:rPr>
                <w:rFonts w:ascii="Arial" w:eastAsia="Arial" w:hAnsi="Arial" w:cs="Arial"/>
                <w:color w:val="CCE5FF"/>
                <w:sz w:val="16"/>
                <w:szCs w:val="16"/>
              </w:rPr>
              <w:t>Modul: GIS — Geografisches Informationssystem</w:t>
            </w:r>
          </w:p>
        </w:tc>
      </w:tr>
    </w:tbl>
    <w:p w14:paraId="70F27294" w14:textId="77777777" w:rsidR="00C556E0" w:rsidRDefault="00C556E0">
      <w:pPr>
        <w:spacing w:after="100"/>
      </w:pPr>
    </w:p>
    <w:p w14:paraId="20229606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1. Allgemeine Übersicht</w:t>
      </w:r>
    </w:p>
    <w:p w14:paraId="69E21A33" w14:textId="7E206AE6" w:rsidR="00C556E0" w:rsidRDefault="00000000">
      <w:pPr>
        <w:spacing w:after="8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Das VOGO eBS GIS-Modul ist eine vollständige Lösung für die Verwaltung, Analyse und Visualisierung räumlicher Daten, nativ in die VOGO eBS-Plattform integriert. Basierend auf einem Open-Standard-Technologie-Stack — GeoServer, OpenLayers und PostGIS — bietet das Modul Organisationen Enterprise-Kartografie- und Geoanalyse-Funktionen, verfügbar sowohl in der Cloud als auch on-premise.</w:t>
      </w:r>
    </w:p>
    <w:p w14:paraId="565FD1ED" w14:textId="1CB9E51F" w:rsidR="005D122B" w:rsidRPr="005D122B" w:rsidRDefault="008F6367" w:rsidP="005D122B">
      <w:pPr>
        <w:shd w:val="clear" w:color="auto" w:fill="1B3F7F"/>
        <w:spacing w:before="320" w:after="120"/>
        <w:rPr>
          <w:rFonts w:ascii="Arial" w:eastAsia="Arial" w:hAnsi="Arial" w:cs="Arial"/>
          <w:b/>
          <w:bCs/>
          <w:color w:val="FFFFFF"/>
          <w:sz w:val="24"/>
          <w:szCs w:val="24"/>
        </w:rPr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  Branchen &amp; Häufige Anwendungen</w:t>
      </w:r>
    </w:p>
    <w:p w14:paraId="35055979" w14:textId="7981932C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Arial" w:eastAsia="Arial" w:hAnsi="Arial" w:cs="Arial"/>
          <w:color w:val="444444"/>
        </w:rPr>
        <w:t>Das GIS-Modul wird am häufigsten von Organisationen angefragt, die umfangreiche physische Infrastrukturen oder Prozesse mit einer wesentlichen geografischen Komponente verwalten:</w:t>
      </w:r>
    </w:p>
    <w:p w14:paraId="09BBD21B" w14:textId="238331DC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Versorgungsunternehmen</w:t>
      </w:r>
      <w:r>
        <w:rPr>
          <w:rFonts w:ascii="Arial" w:eastAsia="Arial" w:hAnsi="Arial" w:cs="Arial"/>
          <w:color w:val="444444"/>
        </w:rPr>
        <w:t xml:space="preserve"> (Wasser, Gas, Strom, Fernwärme) — Visualisierung und Verwaltung von Verteilungsnetzen, Interventionsplanung, Feldindexablesungen, Störungen und Reparaturen</w:t>
      </w:r>
    </w:p>
    <w:p w14:paraId="0577F9A1" w14:textId="678D4860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Öffentliche Verwaltung &amp; Institutionen</w:t>
      </w:r>
      <w:r>
        <w:rPr>
          <w:rFonts w:ascii="Arial" w:eastAsia="Arial" w:hAnsi="Arial" w:cs="Arial"/>
          <w:color w:val="444444"/>
        </w:rPr>
        <w:t xml:space="preserve"> — Stadtplanung, Kataster, Baugenehmigungen, Gebietsüberwachung, Zonierungspläne</w:t>
      </w:r>
    </w:p>
    <w:p w14:paraId="66B04238" w14:textId="7457DC5F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Öffentliche Gesundheit &amp; Veterinärwesen</w:t>
      </w:r>
      <w:r>
        <w:rPr>
          <w:rFonts w:ascii="Arial" w:eastAsia="Arial" w:hAnsi="Arial" w:cs="Arial"/>
          <w:color w:val="444444"/>
        </w:rPr>
        <w:t xml:space="preserve"> — Kartierung von Krankheitsausbrüchen, Überwachung autorisierter Einheiten, geografische Rückverfolgbarkeit von Inspektionen</w:t>
      </w:r>
    </w:p>
    <w:p w14:paraId="12E9490B" w14:textId="52CE79CF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Transport &amp; Logistik</w:t>
      </w:r>
      <w:r>
        <w:rPr>
          <w:rFonts w:ascii="Arial" w:eastAsia="Arial" w:hAnsi="Arial" w:cs="Arial"/>
          <w:color w:val="444444"/>
        </w:rPr>
        <w:t xml:space="preserve"> — Routenoptimierung, Flottenmanagement, Echtzeit-Lieferüberwachung, Lagerplanung</w:t>
      </w:r>
    </w:p>
    <w:p w14:paraId="1AA3F7A6" w14:textId="5E7FC5FC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Landwirtschaft &amp; Umwelt</w:t>
      </w:r>
      <w:r>
        <w:rPr>
          <w:rFonts w:ascii="Arial" w:eastAsia="Arial" w:hAnsi="Arial" w:cs="Arial"/>
          <w:color w:val="444444"/>
        </w:rPr>
        <w:t xml:space="preserve"> — Überwachung landwirtschaftlicher Parzellen, ökologische Zonierung, Management von Schutzgebieten, Umweltverschmutzungsüberwachung</w:t>
      </w:r>
    </w:p>
    <w:p w14:paraId="1F606E2D" w14:textId="2F9AA80B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Telekommunikation</w:t>
      </w:r>
      <w:r>
        <w:rPr>
          <w:rFonts w:ascii="Arial" w:eastAsia="Arial" w:hAnsi="Arial" w:cs="Arial"/>
          <w:color w:val="444444"/>
        </w:rPr>
        <w:t xml:space="preserve"> — Netzplanung, Abdeckungskarten, Management der passiven Infrastruktur</w:t>
      </w:r>
    </w:p>
    <w:p w14:paraId="516F8A24" w14:textId="6F27B7C6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Notfall &amp; Öffentliche Ordnung</w:t>
      </w:r>
      <w:r>
        <w:rPr>
          <w:rFonts w:ascii="Arial" w:eastAsia="Arial" w:hAnsi="Arial" w:cs="Arial"/>
          <w:color w:val="444444"/>
        </w:rPr>
        <w:t xml:space="preserve"> — Interventionskoordination, Risikokartierung, Evakuierungspläne</w:t>
      </w:r>
    </w:p>
    <w:p w14:paraId="3F136018" w14:textId="2BB67703" w:rsidR="005D122B" w:rsidRP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Einzelhandel &amp; Marketing</w:t>
      </w:r>
      <w:r>
        <w:rPr>
          <w:rFonts w:ascii="Arial" w:eastAsia="Arial" w:hAnsi="Arial" w:cs="Arial"/>
          <w:color w:val="444444"/>
        </w:rPr>
        <w:t xml:space="preserve"> — Einzugsgebietsanalyse, Auswahl neuer Standorte, Kartierung des Kundenstamms</w:t>
      </w:r>
    </w:p>
    <w:p w14:paraId="5490F233" w14:textId="54374AA7" w:rsidR="005D122B" w:rsidRDefault="005D122B" w:rsidP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b/>
          <w:bCs/>
          <w:color w:val="444444"/>
        </w:rPr>
        <w:t>Immobilien &amp; Bauwesen</w:t>
      </w:r>
      <w:r>
        <w:rPr>
          <w:rFonts w:ascii="Arial" w:eastAsia="Arial" w:hAnsi="Arial" w:cs="Arial"/>
          <w:color w:val="444444"/>
        </w:rPr>
        <w:t xml:space="preserve"> — Standort-Due-Diligence, geografische Machbarkeitsstudien, Projektvisualisierung</w:t>
      </w:r>
    </w:p>
    <w:p w14:paraId="1A7DF939" w14:textId="11BABEF9" w:rsidR="005D122B" w:rsidRDefault="005D122B">
      <w:pPr>
        <w:spacing w:after="80"/>
        <w:rPr>
          <w:rFonts w:ascii="Arial" w:eastAsia="Arial" w:hAnsi="Arial" w:cs="Arial"/>
          <w:color w:val="444444"/>
        </w:rPr>
      </w:pPr>
      <w:r>
        <w:rPr>
          <w:rFonts w:ascii="Cambria Math" w:hAnsi="Cambria Math" w:cs="Cambria Math"/>
          <w:b/>
          <w:bCs/>
          <w:color w:val="0070C0"/>
        </w:rPr>
        <w:t>▸</w:t>
      </w:r>
      <w:r>
        <w:rPr>
          <w:b/>
          <w:bCs/>
          <w:color w:val="0070C0"/>
        </w:rPr>
        <w:t xml:space="preserve">  </w:t>
      </w:r>
      <w:r>
        <w:rPr>
          <w:rFonts w:ascii="Arial" w:eastAsia="Arial" w:hAnsi="Arial" w:cs="Arial"/>
          <w:color w:val="444444"/>
        </w:rPr>
        <w:t>Fragen Sie nach weiteren Informationen, wenn die gesuchte Branche mit GIS-Anwendungen nicht in der obigen Liste enthalten ist</w:t>
      </w:r>
    </w:p>
    <w:p w14:paraId="2214154F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2. Technische Architektur &amp; Technologie-Stack</w:t>
      </w:r>
    </w:p>
    <w:p w14:paraId="7782380F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Hauptkomponenten</w:t>
      </w:r>
    </w:p>
    <w:p w14:paraId="59AD98C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GeoServer — Open-Source-GIS-Server zur Veröffentlichung, Verwaltung und Bereitstellung von Geodaten; Unterstützung für WMS, WFS, WCS, WMTS; On-premise- und Cloud-Bereitstellung</w:t>
      </w:r>
    </w:p>
    <w:p w14:paraId="73CAD18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OpenLayers — JavaScript-Bibliothek für interaktive Kartenvisualisierung im Browser; Unterstützung für Vektorebenen, Raster, Kacheln und externe Dienste</w:t>
      </w:r>
    </w:p>
    <w:p w14:paraId="46D5DE19" w14:textId="77777777" w:rsidR="00C556E0" w:rsidRDefault="00000000">
      <w:pPr>
        <w:spacing w:after="60"/>
        <w:rPr>
          <w:rFonts w:ascii="Arial" w:eastAsia="Arial" w:hAnsi="Arial" w:cs="Arial"/>
          <w:color w:val="444444"/>
        </w:rPr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PostGIS — PostgreSQL-Erweiterung für effiziente Speicherung und Abfrage räumlicher Daten; Unterstützung für komplexe Geometrien, räumliche Indizierung, SQL-Geoanalysen</w:t>
      </w:r>
    </w:p>
    <w:p w14:paraId="24F87A74" w14:textId="5EF23CBF" w:rsidR="007C7E5F" w:rsidRDefault="007C7E5F">
      <w:pPr>
        <w:spacing w:after="60"/>
        <w:rPr>
          <w:rFonts w:ascii="Arial" w:eastAsia="Arial" w:hAnsi="Arial" w:cs="Arial"/>
          <w:color w:val="444444"/>
        </w:rPr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VOGO eBS GIS Integrator – web based and mobile application developed by VOGO Technology based on above technology stack</w:t>
      </w:r>
    </w:p>
    <w:p w14:paraId="2CAC293B" w14:textId="77777777" w:rsidR="000267C0" w:rsidRDefault="000267C0">
      <w:pPr>
        <w:spacing w:after="60"/>
      </w:pPr>
    </w:p>
    <w:tbl>
      <w:tblPr>
        <w:tblpPr w:leftFromText="180" w:rightFromText="180" w:vertAnchor="text" w:horzAnchor="margin" w:tblpY="53"/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7306"/>
      </w:tblGrid>
      <w:tr w:rsidR="001B6CE3" w:rsidRPr="000267C0" w14:paraId="65051D4E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E05AE1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GeoServer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00B1A85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On-premise &amp; Cloud — Veröffentlichung von WMS/WFS/WCS-Diensten, Workspace- und Layer-Verwaltung</w:t>
            </w:r>
          </w:p>
        </w:tc>
      </w:tr>
      <w:tr w:rsidR="001B6CE3" w:rsidRPr="000267C0" w14:paraId="3DEA0051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04233FF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OpenLayers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6D17E60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Interaktiver Web-Viewer — Zoom, Schwenken, Ebenen, Zeichnen, Attributbearbeitung direkt auf der Karte</w:t>
            </w:r>
          </w:p>
        </w:tc>
      </w:tr>
      <w:tr w:rsidR="001B6CE3" w:rsidRPr="000267C0" w14:paraId="45293AB0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51AFC4A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PostGIS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74D8D0F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Räumliche Speicherung — Geometrien, R-Tree-Indizierung, SQL-Geoanalysen, Zeitreihendaten</w:t>
            </w:r>
          </w:p>
        </w:tc>
      </w:tr>
      <w:tr w:rsidR="001B6CE3" w:rsidRPr="000267C0" w14:paraId="345CF72D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9BD3B4B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Deployment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987F6B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On-premise (eigener Server) oder Cloud (AWS, Azure, GCP) — flexible Architektur</w:t>
            </w:r>
          </w:p>
        </w:tc>
      </w:tr>
      <w:tr w:rsidR="001B6CE3" w:rsidRPr="000267C0" w14:paraId="45A1C0E5" w14:textId="77777777" w:rsidTr="001B6CE3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D8341E0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bCs/>
                <w:color w:val="1B3F7F"/>
                <w:sz w:val="18"/>
                <w:szCs w:val="18"/>
              </w:rPr>
              <w:t>Unterstützte Formate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F8327FB" w14:textId="77777777" w:rsidR="001B6CE3" w:rsidRPr="000267C0" w:rsidRDefault="001B6CE3" w:rsidP="001B6CE3">
            <w:pPr>
              <w:rPr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444444"/>
                <w:sz w:val="18"/>
                <w:szCs w:val="18"/>
              </w:rPr>
              <w:t>SHP, KML, GeoJSON, CSV mit Koordinaten, GPX, GeoTIFF, DWG, DXF, externe WMS/WFS</w:t>
            </w:r>
          </w:p>
        </w:tc>
      </w:tr>
    </w:tbl>
    <w:p w14:paraId="3766C75F" w14:textId="77777777" w:rsidR="001B6CE3" w:rsidRDefault="001B6CE3">
      <w:pPr>
        <w:spacing w:after="60"/>
      </w:pPr>
    </w:p>
    <w:p w14:paraId="535105AD" w14:textId="77777777" w:rsidR="001B6CE3" w:rsidRDefault="001B6CE3">
      <w:pPr>
        <w:spacing w:after="60"/>
      </w:pPr>
    </w:p>
    <w:p w14:paraId="6A2BAEC6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3. Visualisierung &amp; GIS-Viewer-Oberfläche</w:t>
      </w:r>
    </w:p>
    <w:p w14:paraId="28DCCC2E" w14:textId="77777777" w:rsidR="00C556E0" w:rsidRPr="00B2449A" w:rsidRDefault="00000000">
      <w:pPr>
        <w:spacing w:after="80"/>
        <w:rPr>
          <w:sz w:val="18"/>
          <w:szCs w:val="18"/>
        </w:rPr>
      </w:pPr>
      <w:r>
        <w:rPr>
          <w:rFonts w:ascii="Arial" w:eastAsia="Arial" w:hAnsi="Arial" w:cs="Arial"/>
          <w:color w:val="444444"/>
          <w:sz w:val="18"/>
          <w:szCs w:val="18"/>
        </w:rPr>
        <w:t>Die Plattform stellt einen vollständigen GIS-Viewer bereit, der über die Web-Oberfläche zugänglich ist und alle Funktionen zur Interaktion mit Geodaten bietet.</w:t>
      </w:r>
    </w:p>
    <w:p w14:paraId="3991C9EB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Ermöglicht Visualisierung und Interaktion mit Vektor- und Rasterkarten mit vollständigen Zoom-, Schwenk- und Navigationsfunktionen</w:t>
      </w:r>
    </w:p>
    <w:p w14:paraId="28FC019B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Zeigt Netzwerkelementattribute direkt auf der Karte bei Auswahl an, ohne zusätzliche Navigation</w:t>
      </w:r>
    </w:p>
    <w:p w14:paraId="66D66ADA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Ermöglicht das Hinzufügen, Ausblenden, Neuanordnen und Löschen geografischer Datenschichten</w:t>
      </w:r>
    </w:p>
    <w:p w14:paraId="4ACE1B57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Organisiert Ebenen hierarchisch (Baumstruktur) mit vollständiger Sichtbarkeits- und Transparenzkontrolle</w:t>
      </w:r>
    </w:p>
    <w:p w14:paraId="5FFBB2E4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Bietet direkte Zeichenwerkzeuge auf der Karte: Punkte, Linien, Polygone zur Markierung von Interessengebieten</w:t>
      </w:r>
    </w:p>
    <w:p w14:paraId="560AD04F" w14:textId="77777777" w:rsidR="00C556E0" w:rsidRPr="00B2449A" w:rsidRDefault="00000000">
      <w:pPr>
        <w:spacing w:after="60"/>
        <w:rPr>
          <w:sz w:val="18"/>
          <w:szCs w:val="18"/>
        </w:rPr>
      </w:pPr>
      <w:r>
        <w:rPr>
          <w:b/>
          <w:bCs/>
          <w:color w:val="0070C0"/>
          <w:sz w:val="18"/>
          <w:szCs w:val="18"/>
        </w:rPr>
        <w:t xml:space="preserve">▸  </w:t>
      </w:r>
      <w:r>
        <w:rPr>
          <w:rFonts w:ascii="Arial" w:eastAsia="Arial" w:hAnsi="Arial" w:cs="Arial"/>
          <w:color w:val="444444"/>
          <w:sz w:val="18"/>
          <w:szCs w:val="18"/>
        </w:rPr>
        <w:t>Enthält ein zugängliches Bedienfeld zur Verwaltung aller Funktionen: Ebenen, Visualisierung, Analyse</w:t>
      </w:r>
    </w:p>
    <w:p w14:paraId="5940A90B" w14:textId="6B240664" w:rsidR="00C556E0" w:rsidRDefault="000267C0">
      <w:pPr>
        <w:spacing w:before="120" w:after="60"/>
        <w:jc w:val="center"/>
      </w:pPr>
      <w:r>
        <w:rPr>
          <w:noProof/>
        </w:rPr>
        <w:drawing>
          <wp:inline distT="0" distB="0" distL="0" distR="0" wp14:anchorId="60160D02" wp14:editId="26BBFCCC">
            <wp:extent cx="4410710" cy="1986660"/>
            <wp:effectExtent l="19050" t="19050" r="8890" b="13970"/>
            <wp:docPr id="11272944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729440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20803" cy="1991206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20A1E822" w14:textId="62FD4312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Abb. GIS-Viewer VOGO eBS: Kartenansicht, aktive Ebenen und ausgewählte Elementattribute</w:t>
      </w:r>
    </w:p>
    <w:p w14:paraId="7E5331B8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4. Ebenenverwaltung &amp; GeoServer-Konfiguration</w:t>
      </w:r>
    </w:p>
    <w:p w14:paraId="58A76A16" w14:textId="77777777" w:rsidR="00C556E0" w:rsidRDefault="00000000">
      <w:pPr>
        <w:spacing w:after="80"/>
      </w:pPr>
      <w:r>
        <w:rPr>
          <w:rFonts w:ascii="Arial" w:eastAsia="Arial" w:hAnsi="Arial" w:cs="Arial"/>
          <w:color w:val="444444"/>
        </w:rPr>
        <w:t>Die Plattform bietet eine vollständige Verwaltungsoberfläche zur Definition und Verwaltung von GIS-Ebenen, nativ mit GeoServer verbunden.</w:t>
      </w:r>
    </w:p>
    <w:p w14:paraId="299DACC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die Erstellung von Ebenen mit eindeutigem Code, Anzeigename und Beschreibung, hierarchisch organisiert (Eltern-Kind-Struktur) mit konfigurierbarer Sortierreihenfolge</w:t>
      </w:r>
    </w:p>
    <w:p w14:paraId="20FA1F84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Definiert den Ebenentyp und wie Daten von GeoServer abgerufen werden, und steuert, welche Aktionen der Benutzer ausführen kann</w:t>
      </w:r>
    </w:p>
    <w:p w14:paraId="3697E0E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die Änderung von Netzwerkelementattributen direkt aus dem Viewer, mit automatischer Weitergabe an GeoServer</w:t>
      </w:r>
    </w:p>
    <w:p w14:paraId="7B9B9824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Gewährleistet die Echtzeit-Synchronisierung von Änderungen zwischen der Web-Oberfläche und dem GIS-Server</w:t>
      </w:r>
    </w:p>
    <w:p w14:paraId="1B288CF3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Unterstützt die Überlagerung mit externen Geodaten: Katasterdaten, Straßennomenklatur, topografische Karten</w:t>
      </w:r>
    </w:p>
    <w:p w14:paraId="7DB40118" w14:textId="77777777" w:rsidR="00C556E0" w:rsidRDefault="00C556E0">
      <w:pPr>
        <w:spacing w:after="100"/>
      </w:pPr>
    </w:p>
    <w:p w14:paraId="7D9AE61C" w14:textId="77777777" w:rsidR="00C556E0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55CDFDC4" wp14:editId="46096FB4">
            <wp:extent cx="5048250" cy="2257425"/>
            <wp:effectExtent l="19050" t="19050" r="19050" b="28575"/>
            <wp:docPr id="924634523" name="gis-screenshot" descr="Screenshot VOGO eBS GIS" title="Screenshot G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257425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A7AABB2" w14:textId="0E94CE27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Abb. GIS-Ebenen-Definitions- und -Bearbeitungsoberfläche mit nativer GeoServer-Integration</w:t>
      </w:r>
    </w:p>
    <w:p w14:paraId="0F199852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lastRenderedPageBreak/>
        <w:t xml:space="preserve">  5. Integration mit VOGO Portal &amp; Forms</w:t>
      </w:r>
    </w:p>
    <w:p w14:paraId="63F52E4B" w14:textId="77777777" w:rsidR="00C556E0" w:rsidRDefault="00000000">
      <w:pPr>
        <w:spacing w:after="80"/>
      </w:pPr>
      <w:r>
        <w:rPr>
          <w:rFonts w:ascii="Arial" w:eastAsia="Arial" w:hAnsi="Arial" w:cs="Arial"/>
          <w:color w:val="444444"/>
        </w:rPr>
        <w:t>Das GIS-Modul ist nativ in VOGO Portal und VOGO Forms integriert und ermöglicht die Verwendung interaktiver Karten direkt in digitalen Formularen und öffentlichen Diensten.</w:t>
      </w:r>
    </w:p>
    <w:p w14:paraId="4FFDEF6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Stellt einen dedizierten Feldtyp 'Karte' im Formularersteller bereit, der in jedes digitale Formular ohne Code integrierbar ist</w:t>
      </w:r>
    </w:p>
    <w:p w14:paraId="5BD61B6E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Bürgern, Adressen auf der Karte direkt aus dem Antragsformular zu lokalisieren, mit der Funktion 'Meinen aktuellen Standort ermitteln'</w:t>
      </w:r>
    </w:p>
    <w:p w14:paraId="3FE74312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Unterstützt Adressfelder mit automatischer Geokodierung (Textadresse → Geografische Koordinaten-Umwandlung)</w:t>
      </w:r>
    </w:p>
    <w:p w14:paraId="2604E9E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Integriert die Karte in öffentliche Dienstleistungsabläufe: Genehmigungen, Bescheide, Anträge — mit geografischer Positionierung des Antrags</w:t>
      </w:r>
    </w:p>
    <w:p w14:paraId="258DE6A9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die Erstellung von Bescheiden mit Platzierung des grafischen Symbols am genauen Standort auf der Karte und Anhang der vollständigen elektronischen Akte</w:t>
      </w:r>
    </w:p>
    <w:p w14:paraId="4FD6AD85" w14:textId="77777777" w:rsidR="00C556E0" w:rsidRDefault="00C556E0">
      <w:pPr>
        <w:spacing w:after="100"/>
      </w:pPr>
    </w:p>
    <w:p w14:paraId="79CBB622" w14:textId="77777777" w:rsidR="00C556E0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721260AB" wp14:editId="32CCFC78">
            <wp:extent cx="4110404" cy="2590330"/>
            <wp:effectExtent l="19050" t="19050" r="23495" b="19685"/>
            <wp:docPr id="103859689" name="gis-screenshot" descr="Screenshot VOGO eBS GIS" title="Screenshot G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7388" cy="2594731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71728FF" w14:textId="143546E4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Abb. GIS-Integration im öffentlichen Portal: Genehmigungsformular mit interaktivem Kartenfeld</w:t>
      </w:r>
    </w:p>
    <w:p w14:paraId="6E8C6ED0" w14:textId="77777777" w:rsidR="00C556E0" w:rsidRDefault="00C556E0">
      <w:pPr>
        <w:spacing w:after="100"/>
      </w:pPr>
    </w:p>
    <w:p w14:paraId="1C8419E6" w14:textId="77777777" w:rsidR="00C556E0" w:rsidRDefault="00000000">
      <w:pPr>
        <w:spacing w:before="120" w:after="60"/>
        <w:jc w:val="center"/>
      </w:pPr>
      <w:r>
        <w:rPr>
          <w:noProof/>
        </w:rPr>
        <w:drawing>
          <wp:inline distT="0" distB="0" distL="0" distR="0" wp14:anchorId="7204265E" wp14:editId="5F57BC0B">
            <wp:extent cx="5048250" cy="2266950"/>
            <wp:effectExtent l="19050" t="19050" r="19050" b="19050"/>
            <wp:docPr id="1387119059" name="gis-screenshot" descr="Screenshot VOGO eBS GIS" title="Screenshot G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2266950"/>
                    </a:xfrm>
                    <a:prstGeom prst="rect">
                      <a:avLst/>
                    </a:prstGeom>
                    <a:ln>
                      <a:solidFill>
                        <a:schemeClr val="bg2">
                          <a:lumMod val="9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2E25B9B" w14:textId="2A83DAE6" w:rsidR="00C556E0" w:rsidRDefault="00000000">
      <w:pPr>
        <w:spacing w:before="60" w:after="200"/>
        <w:jc w:val="center"/>
      </w:pPr>
      <w:r>
        <w:rPr>
          <w:rFonts w:ascii="Arial" w:eastAsia="Arial" w:hAnsi="Arial" w:cs="Arial"/>
          <w:i/>
          <w:iCs/>
          <w:color w:val="0070C0"/>
          <w:sz w:val="18"/>
          <w:szCs w:val="18"/>
        </w:rPr>
        <w:t>Abb. Kartenfeld im VOGO eBS Forms-Formularersteller verfügbar</w:t>
      </w:r>
    </w:p>
    <w:p w14:paraId="10E114FD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6. Räumliche Analyse &amp; Geokodierung</w:t>
      </w:r>
    </w:p>
    <w:p w14:paraId="25EEF2E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Führt komplexe räumliche Analysen durch: Verschneidungen, Puffer, Näherungsanalyse, Flächen- und Entfernungsberechnung</w:t>
      </w:r>
    </w:p>
    <w:p w14:paraId="5AEA0660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Enthält Geokodierungsfunktionen zur Umwandlung von Adressen und Textbeschreibungen in geografische Koordinaten (Breiten-/Längengrad)</w:t>
      </w:r>
    </w:p>
    <w:p w14:paraId="5F036505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Unterstützt Verwaltung und Visualisierung geografischer Daten nach Zeitintervallen (Zeitreihendaten) und erleichtert die Zeitanalyse</w:t>
      </w:r>
    </w:p>
    <w:p w14:paraId="204749FC" w14:textId="77777777" w:rsidR="00C556E0" w:rsidRDefault="00000000">
      <w:pPr>
        <w:spacing w:after="60"/>
      </w:pPr>
      <w:r>
        <w:rPr>
          <w:b/>
          <w:bCs/>
          <w:color w:val="0070C0"/>
        </w:rPr>
        <w:lastRenderedPageBreak/>
        <w:t xml:space="preserve">▸  </w:t>
      </w:r>
      <w:r>
        <w:rPr>
          <w:rFonts w:ascii="Arial" w:eastAsia="Arial" w:hAnsi="Arial" w:cs="Arial"/>
          <w:color w:val="444444"/>
        </w:rPr>
        <w:t>Ermöglicht Filterung und Abfrage räumlicher Daten über Geo-SQL (PostGIS) für Berichte und komplexe Analysen</w:t>
      </w:r>
    </w:p>
    <w:p w14:paraId="69EE01DD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Erstellt Berichte mit Kartenvisualisierung der Auswahl: Kreisdiagramme, Balkendiagramme mit Drill-down zu einzelnen Kartenelementen</w:t>
      </w:r>
    </w:p>
    <w:p w14:paraId="6ACA79C3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7. Mobile Anwendung für Feldeinsätze</w:t>
      </w:r>
    </w:p>
    <w:p w14:paraId="74AE1F0E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Visualisiert Kunden und Netzwerkelemente auf der Karte direkt vom Android/iOS-Mobilgerät</w:t>
      </w:r>
    </w:p>
    <w:p w14:paraId="56EA479B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das Ablesen des Index und dessen Übertragung in Echtzeit an die Verwaltungsanwendung</w:t>
      </w:r>
    </w:p>
    <w:p w14:paraId="74C9F852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Funktioniert offline mit lokaler Datenspeicherung bei Trennung vom Internet, mit automatischer Synchronisierung bei Wiederverbindung</w:t>
      </w:r>
    </w:p>
    <w:p w14:paraId="03485B0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die Erstellung von Interventionsprotokollen mit konfigurierbaren Feldern: Dropdown-Listen mit automatisch filternden Nomenklaturen, klassische Felder, Daten</w:t>
      </w:r>
    </w:p>
    <w:p w14:paraId="09D8CB20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Unterstützt handschriftliche Unterschrift direkt auf dem Bildschirm des Mobilgeräts</w:t>
      </w:r>
    </w:p>
    <w:p w14:paraId="5CF54B3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Erstellt und sendet automatisch die signierte PDF-Datei per E-Mail</w:t>
      </w:r>
    </w:p>
    <w:p w14:paraId="49535D7A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8. Weitere Funktionen</w:t>
      </w:r>
    </w:p>
    <w:p w14:paraId="1E360071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Datenimport &amp; -export</w:t>
      </w:r>
    </w:p>
    <w:p w14:paraId="18BBB0D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Unterstützt Datenimport und -export in Standard-Geoformaten: SHP, KML, GeoJSON, CSV mit geografischen Koordinaten, GPX</w:t>
      </w:r>
    </w:p>
    <w:p w14:paraId="737BEE03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das Laden und Visualisieren von Daten aus externen Quellen und gewährleistet die Kompatibilität mit Geodatenstandards</w:t>
      </w:r>
    </w:p>
    <w:p w14:paraId="7466D4F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das Anhängen vollständiger elektronischer Akten an geografische Elemente: PDF, JPG, DWG, DXF und andere Formate</w:t>
      </w:r>
    </w:p>
    <w:p w14:paraId="2805B6F8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Öffentliches Bürgerportal</w:t>
      </w:r>
    </w:p>
    <w:p w14:paraId="7E48FF7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Erstellt öffentliche Portalbereiche für Bürger unter einer öffentlichen Webadresse mit Login-, Visualisierungs- und Datenübermittlungsfunktionen</w:t>
      </w:r>
    </w:p>
    <w:p w14:paraId="517D5AFC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Rechnungszahlung per Karte direkt von der Plattform, mit automatischer Bestätigung und Schuldenbereinigung</w:t>
      </w:r>
    </w:p>
    <w:p w14:paraId="51185EF8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Dashboard &amp; BI</w:t>
      </w:r>
    </w:p>
    <w:p w14:paraId="2F003FBD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Bietet ein dynamisches Dashboard mit Filtern nach Informationstypen: Ablesungen, Interventionen, Kreisdiagramm- und Balkendiagramm-Visualisierung</w:t>
      </w:r>
    </w:p>
    <w:p w14:paraId="379A01DD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detaillierte Kartenanzeige der aus Berichten ausgewählten Elemente, mit der Möglichkeit, an jedem Element zu arbeiten und Daten zu exportieren</w:t>
      </w:r>
    </w:p>
    <w:p w14:paraId="2A464AB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Integriert sich nativ mit der BI-Lösung der Plattform für Karten, DMS und mobile Anwendungen</w:t>
      </w:r>
    </w:p>
    <w:p w14:paraId="65ACF045" w14:textId="77777777" w:rsidR="00C556E0" w:rsidRDefault="00000000">
      <w:pPr>
        <w:pBdr>
          <w:left w:val="single" w:sz="16" w:space="0" w:color="0070C0"/>
        </w:pBdr>
        <w:spacing w:before="200" w:after="80"/>
      </w:pPr>
      <w:r>
        <w:rPr>
          <w:rFonts w:ascii="Arial" w:eastAsia="Arial" w:hAnsi="Arial" w:cs="Arial"/>
          <w:b/>
          <w:bCs/>
          <w:color w:val="1B3F7F"/>
          <w:sz w:val="22"/>
          <w:szCs w:val="22"/>
        </w:rPr>
        <w:t xml:space="preserve">  Benutzeroberfläche</w:t>
      </w:r>
    </w:p>
    <w:p w14:paraId="368A8433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Bietet eine benutzerfreundliche und intuitive Oberfläche, einfach zu bedienen für technische und nicht-technische Benutzer</w:t>
      </w:r>
    </w:p>
    <w:p w14:paraId="7AFE590A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differenzierte Interaktionsmodi für interne Benutzer und Bürger/externe Benutzer</w:t>
      </w:r>
    </w:p>
    <w:p w14:paraId="0AAABD89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9. Leistung, Sicherheit &amp; Skalierbarkeit</w:t>
      </w:r>
    </w:p>
    <w:p w14:paraId="5335EFA2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Verwaltet effizient große Mengen geografischer Daten mit schnellen Reaktionszeiten und reibungsloser Benutzererfahrung</w:t>
      </w:r>
    </w:p>
    <w:p w14:paraId="573702E6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Beinhaltet Benutzerauthentifizierung und -autorisierung, Datenverschlüsselung und vollständige Zugriffsprotokollierung</w:t>
      </w:r>
    </w:p>
    <w:p w14:paraId="747724B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Ermöglicht die nachträgliche Hinzufügung neuer Funktionen und Module zur Anpassung an die sich ändernden Bedürfnisse der Organisation</w:t>
      </w:r>
    </w:p>
    <w:p w14:paraId="19C887A7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Ist skalierbar, um eine wachsende Anzahl von Benutzern und größere Datenmengen mit dem Wachstum der Organisation zu bewältigen</w:t>
      </w:r>
    </w:p>
    <w:p w14:paraId="3D08DF38" w14:textId="77777777" w:rsidR="00C556E0" w:rsidRDefault="00000000">
      <w:pPr>
        <w:spacing w:after="60"/>
      </w:pPr>
      <w:r>
        <w:rPr>
          <w:b/>
          <w:bCs/>
          <w:color w:val="0070C0"/>
        </w:rPr>
        <w:t xml:space="preserve">▸  </w:t>
      </w:r>
      <w:r>
        <w:rPr>
          <w:rFonts w:ascii="Arial" w:eastAsia="Arial" w:hAnsi="Arial" w:cs="Arial"/>
          <w:color w:val="444444"/>
        </w:rPr>
        <w:t>Verwendet offene Standards und Protokolle (OGC: WMS, WFS, WCS) für Interoperabilität mit jedem externen System</w:t>
      </w:r>
    </w:p>
    <w:p w14:paraId="1868411C" w14:textId="77777777" w:rsidR="00C556E0" w:rsidRDefault="00000000">
      <w:pPr>
        <w:shd w:val="clear" w:color="auto" w:fill="1B3F7F"/>
        <w:spacing w:before="320" w:after="120"/>
      </w:pPr>
      <w:r>
        <w:rPr>
          <w:rFonts w:ascii="Arial" w:eastAsia="Arial" w:hAnsi="Arial" w:cs="Arial"/>
          <w:b/>
          <w:bCs/>
          <w:color w:val="FFFFFF"/>
          <w:sz w:val="24"/>
          <w:szCs w:val="24"/>
        </w:rPr>
        <w:t xml:space="preserve">  10. Unterstützte Integrationen</w:t>
      </w:r>
    </w:p>
    <w:tbl>
      <w:tblPr>
        <w:tblW w:w="10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7306"/>
      </w:tblGrid>
      <w:tr w:rsidR="00C556E0" w14:paraId="2D93E951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29699DF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lastRenderedPageBreak/>
              <w:t>VOGO Forms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69A03E3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Natives Kartenfeld im Formularersteller — Geokodierung und Ortung in digitalen Workflows</w:t>
            </w:r>
          </w:p>
        </w:tc>
      </w:tr>
      <w:tr w:rsidR="00C556E0" w14:paraId="194DD5AF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6A97B4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VOGO Portal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4A8E9B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Interaktive Karten im öffentlichen Portal für Bürger und Genehmigungsdienste</w:t>
            </w:r>
          </w:p>
        </w:tc>
      </w:tr>
      <w:tr w:rsidR="00C556E0" w14:paraId="03234427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5A0B5A56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VOGO BI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958530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Dynamische Dashboards mit Geovisualisierung, Filtern und Datenexport</w:t>
            </w:r>
          </w:p>
        </w:tc>
      </w:tr>
      <w:tr w:rsidR="00C556E0" w14:paraId="4436C4E1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AFA4B1B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DMS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F204653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Anhängen elektronischer Akten (PDF, DWG, DXF, JPG) an geografische Elemente</w:t>
            </w:r>
          </w:p>
        </w:tc>
      </w:tr>
      <w:tr w:rsidR="00C556E0" w14:paraId="1EE39054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42BC6C8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Mobile Anwendung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E758E5F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Netzwerkvisualisierung, Indexablesungen, Feldeinsätze, Offline-Synchronisierung, handschriftliche Unterschrift</w:t>
            </w:r>
          </w:p>
        </w:tc>
      </w:tr>
      <w:tr w:rsidR="00C556E0" w14:paraId="43F6BD86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1B24BABD" w14:textId="77777777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Externer GIS-Server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1C9E6D" w14:textId="77777777" w:rsidR="00C556E0" w:rsidRDefault="00000000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Nutzung von GIS-Diensten, die von Drittanbietersystemen über Standard-WMS/WFS veröffentlicht werden</w:t>
            </w:r>
          </w:p>
        </w:tc>
      </w:tr>
      <w:tr w:rsidR="0016193E" w14:paraId="286ADB11" w14:textId="77777777" w:rsidTr="00C0346D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499ACD3" w14:textId="77777777" w:rsidR="0016193E" w:rsidRDefault="0016193E" w:rsidP="00C0346D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Zahlungssystem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687F266" w14:textId="77777777" w:rsidR="0016193E" w:rsidRDefault="0016193E" w:rsidP="00C0346D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Kartenzahlung direkt über die öffentliche Portalkomponente</w:t>
            </w:r>
          </w:p>
        </w:tc>
      </w:tr>
      <w:tr w:rsidR="00C556E0" w14:paraId="7B161732" w14:textId="77777777">
        <w:tc>
          <w:tcPr>
            <w:tcW w:w="3000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shd w:val="clear" w:color="auto" w:fill="EEF3FA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BD19651" w14:textId="444C313A" w:rsidR="00C556E0" w:rsidRDefault="00000000">
            <w:r>
              <w:rPr>
                <w:rFonts w:ascii="Arial" w:eastAsia="Arial" w:hAnsi="Arial" w:cs="Arial"/>
                <w:b/>
                <w:bCs/>
                <w:color w:val="1B3F7F"/>
                <w:sz w:val="19"/>
                <w:szCs w:val="19"/>
              </w:rPr>
              <w:t>Rechnungsstellungssystem</w:t>
            </w:r>
          </w:p>
        </w:tc>
        <w:tc>
          <w:tcPr>
            <w:tcW w:w="7306" w:type="dxa"/>
            <w:tcBorders>
              <w:top w:val="single" w:sz="4" w:space="0" w:color="DDDDDD"/>
              <w:left w:val="single" w:sz="4" w:space="0" w:color="DDDDDD"/>
              <w:bottom w:val="single" w:sz="4" w:space="0" w:color="DDDDDD"/>
              <w:right w:val="single" w:sz="4" w:space="0" w:color="DDDDDD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62809D0E" w14:textId="6845ECCC" w:rsidR="00C556E0" w:rsidRDefault="0016193E">
            <w:r>
              <w:rPr>
                <w:rFonts w:ascii="Arial" w:eastAsia="Arial" w:hAnsi="Arial" w:cs="Arial"/>
                <w:color w:val="444444"/>
                <w:sz w:val="19"/>
                <w:szCs w:val="19"/>
              </w:rPr>
              <w:t>Rechnungsvisualisierung und deren Status; Kundenakte;</w:t>
            </w:r>
          </w:p>
        </w:tc>
      </w:tr>
    </w:tbl>
    <w:p w14:paraId="7F0EB3FE" w14:textId="77777777" w:rsidR="000142FA" w:rsidRDefault="000142FA" w:rsidP="000142FA">
      <w:pPr>
        <w:spacing w:after="100"/>
      </w:pPr>
    </w:p>
    <w:p w14:paraId="721C081D" w14:textId="77777777" w:rsidR="000142FA" w:rsidRDefault="000142FA" w:rsidP="000142FA">
      <w:pPr>
        <w:spacing w:after="100"/>
      </w:pPr>
      <w:r>
        <w:rPr>
          <w:noProof/>
        </w:rPr>
        <w:drawing>
          <wp:inline distT="0" distB="0" distL="0" distR="0" wp14:anchorId="4D127B11" wp14:editId="590822F3">
            <wp:extent cx="6544310" cy="3669665"/>
            <wp:effectExtent l="19050" t="19050" r="27940" b="26035"/>
            <wp:docPr id="18808516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085164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544310" cy="3669665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38702FA8" w14:textId="77777777" w:rsidR="000142FA" w:rsidRDefault="000142FA" w:rsidP="000142FA">
      <w:pPr>
        <w:spacing w:after="100"/>
      </w:pPr>
      <w:r>
        <w:rPr>
          <w:noProof/>
        </w:rPr>
        <w:drawing>
          <wp:inline distT="0" distB="0" distL="0" distR="0" wp14:anchorId="2831B412" wp14:editId="15D5F0AE">
            <wp:extent cx="3014133" cy="2075909"/>
            <wp:effectExtent l="19050" t="19050" r="15240" b="19685"/>
            <wp:docPr id="17847655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765506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33241" cy="2089069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</w:rPr>
        <w:drawing>
          <wp:inline distT="0" distB="0" distL="0" distR="0" wp14:anchorId="4B7F0A64" wp14:editId="63BE8D98">
            <wp:extent cx="3146778" cy="2050627"/>
            <wp:effectExtent l="19050" t="19050" r="15875" b="26035"/>
            <wp:docPr id="2170133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0133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68736" cy="2064936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42E101E5" w14:textId="77777777" w:rsidR="000142FA" w:rsidRDefault="000142FA" w:rsidP="000142FA">
      <w:pPr>
        <w:spacing w:after="100"/>
        <w:jc w:val="center"/>
      </w:pPr>
      <w:r>
        <w:rPr>
          <w:noProof/>
        </w:rPr>
        <w:lastRenderedPageBreak/>
        <w:drawing>
          <wp:inline distT="0" distB="0" distL="0" distR="0" wp14:anchorId="204AF64F" wp14:editId="76D7F25D">
            <wp:extent cx="4326467" cy="2644745"/>
            <wp:effectExtent l="19050" t="19050" r="17145" b="22860"/>
            <wp:docPr id="13142360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23609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45739" cy="2656526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14:paraId="1984D5B3" w14:textId="77777777" w:rsidR="00C556E0" w:rsidRDefault="00C556E0">
      <w:pPr>
        <w:spacing w:after="100"/>
      </w:pPr>
    </w:p>
    <w:sectPr w:rsidR="00C556E0">
      <w:footerReference w:type="default" r:id="rId15"/>
      <w:pgSz w:w="11906" w:h="16838"/>
      <w:pgMar w:top="720" w:right="800" w:bottom="720" w:left="8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A15E05" w14:textId="77777777" w:rsidR="00351FDD" w:rsidRDefault="00351FDD" w:rsidP="002F2CD0">
      <w:r>
        <w:separator/>
      </w:r>
    </w:p>
  </w:endnote>
  <w:endnote w:type="continuationSeparator" w:id="0">
    <w:p w14:paraId="74741640" w14:textId="77777777" w:rsidR="00351FDD" w:rsidRDefault="00351FDD" w:rsidP="002F2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B1E1E" w14:textId="628520A3" w:rsidR="002F2CD0" w:rsidRDefault="002F2CD0" w:rsidP="002F2CD0">
    <w:pPr>
      <w:pBdr>
        <w:top w:val="single" w:sz="6" w:space="0" w:color="DDDDDD"/>
      </w:pBdr>
      <w:tabs>
        <w:tab w:val="right" w:pos="10306"/>
      </w:tabs>
      <w:spacing w:before="160"/>
    </w:pPr>
    <w:r>
      <w:rPr>
        <w:rFonts w:ascii="Arial" w:eastAsia="Arial" w:hAnsi="Arial" w:cs="Arial"/>
        <w:b/>
        <w:bCs/>
        <w:color w:val="0070C0"/>
        <w:sz w:val="18"/>
        <w:szCs w:val="18"/>
      </w:rPr>
      <w:t>vogo.me/ebs</w:t>
    </w:r>
    <w:r>
      <w:tab/>
    </w:r>
    <w:r>
      <w:rPr>
        <w:rFonts w:ascii="Arial" w:eastAsia="Arial" w:hAnsi="Arial" w:cs="Arial"/>
        <w:b/>
        <w:bCs/>
        <w:color w:val="1B3F7F"/>
        <w:sz w:val="18"/>
        <w:szCs w:val="18"/>
      </w:rPr>
      <w:t>Transform. Integrate. Succeed.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2FCB5D" w14:textId="77777777" w:rsidR="00351FDD" w:rsidRDefault="00351FDD" w:rsidP="002F2CD0">
      <w:r>
        <w:separator/>
      </w:r>
    </w:p>
  </w:footnote>
  <w:footnote w:type="continuationSeparator" w:id="0">
    <w:p w14:paraId="49F937E1" w14:textId="77777777" w:rsidR="00351FDD" w:rsidRDefault="00351FDD" w:rsidP="002F2C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42393E"/>
    <w:multiLevelType w:val="hybridMultilevel"/>
    <w:tmpl w:val="8392F504"/>
    <w:lvl w:ilvl="0" w:tplc="1B8AF240">
      <w:start w:val="1"/>
      <w:numFmt w:val="bullet"/>
      <w:lvlText w:val="●"/>
      <w:lvlJc w:val="left"/>
      <w:pPr>
        <w:ind w:left="720" w:hanging="360"/>
      </w:pPr>
    </w:lvl>
    <w:lvl w:ilvl="1" w:tplc="1E5858F0">
      <w:start w:val="1"/>
      <w:numFmt w:val="bullet"/>
      <w:lvlText w:val="○"/>
      <w:lvlJc w:val="left"/>
      <w:pPr>
        <w:ind w:left="1440" w:hanging="360"/>
      </w:pPr>
    </w:lvl>
    <w:lvl w:ilvl="2" w:tplc="6A7EDA72">
      <w:start w:val="1"/>
      <w:numFmt w:val="bullet"/>
      <w:lvlText w:val="■"/>
      <w:lvlJc w:val="left"/>
      <w:pPr>
        <w:ind w:left="2160" w:hanging="360"/>
      </w:pPr>
    </w:lvl>
    <w:lvl w:ilvl="3" w:tplc="EA5A065C">
      <w:start w:val="1"/>
      <w:numFmt w:val="bullet"/>
      <w:lvlText w:val="●"/>
      <w:lvlJc w:val="left"/>
      <w:pPr>
        <w:ind w:left="2880" w:hanging="360"/>
      </w:pPr>
    </w:lvl>
    <w:lvl w:ilvl="4" w:tplc="6BD665C4">
      <w:start w:val="1"/>
      <w:numFmt w:val="bullet"/>
      <w:lvlText w:val="○"/>
      <w:lvlJc w:val="left"/>
      <w:pPr>
        <w:ind w:left="3600" w:hanging="360"/>
      </w:pPr>
    </w:lvl>
    <w:lvl w:ilvl="5" w:tplc="9F32AA08">
      <w:start w:val="1"/>
      <w:numFmt w:val="bullet"/>
      <w:lvlText w:val="■"/>
      <w:lvlJc w:val="left"/>
      <w:pPr>
        <w:ind w:left="4320" w:hanging="360"/>
      </w:pPr>
    </w:lvl>
    <w:lvl w:ilvl="6" w:tplc="75805280">
      <w:start w:val="1"/>
      <w:numFmt w:val="bullet"/>
      <w:lvlText w:val="●"/>
      <w:lvlJc w:val="left"/>
      <w:pPr>
        <w:ind w:left="5040" w:hanging="360"/>
      </w:pPr>
    </w:lvl>
    <w:lvl w:ilvl="7" w:tplc="4F08678A">
      <w:start w:val="1"/>
      <w:numFmt w:val="bullet"/>
      <w:lvlText w:val="●"/>
      <w:lvlJc w:val="left"/>
      <w:pPr>
        <w:ind w:left="5760" w:hanging="360"/>
      </w:pPr>
    </w:lvl>
    <w:lvl w:ilvl="8" w:tplc="8390AF1E">
      <w:start w:val="1"/>
      <w:numFmt w:val="bullet"/>
      <w:lvlText w:val="●"/>
      <w:lvlJc w:val="left"/>
      <w:pPr>
        <w:ind w:left="6480" w:hanging="360"/>
      </w:pPr>
    </w:lvl>
  </w:abstractNum>
  <w:num w:numId="1" w16cid:durableId="129054953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6E0"/>
    <w:rsid w:val="000142FA"/>
    <w:rsid w:val="000267C0"/>
    <w:rsid w:val="000827F5"/>
    <w:rsid w:val="0016193E"/>
    <w:rsid w:val="001B6CE3"/>
    <w:rsid w:val="002418B7"/>
    <w:rsid w:val="00253853"/>
    <w:rsid w:val="002F2CD0"/>
    <w:rsid w:val="00351FDD"/>
    <w:rsid w:val="005D122B"/>
    <w:rsid w:val="007C7E5F"/>
    <w:rsid w:val="008F6367"/>
    <w:rsid w:val="00993532"/>
    <w:rsid w:val="00B2449A"/>
    <w:rsid w:val="00BA7250"/>
    <w:rsid w:val="00C556E0"/>
    <w:rsid w:val="00CC452E"/>
    <w:rsid w:val="00CD4110"/>
    <w:rsid w:val="00D40B34"/>
    <w:rsid w:val="00D561DC"/>
    <w:rsid w:val="00F36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A797B3"/>
  <w15:docId w15:val="{97970901-7475-451A-952E-FFCA3A5E2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F2CD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2CD0"/>
  </w:style>
  <w:style w:type="paragraph" w:styleId="Footer">
    <w:name w:val="footer"/>
    <w:basedOn w:val="Normal"/>
    <w:link w:val="FooterChar"/>
    <w:uiPriority w:val="99"/>
    <w:unhideWhenUsed/>
    <w:rsid w:val="002F2CD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2C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</Pages>
  <Words>1550</Words>
  <Characters>8838</Characters>
  <Application>Microsoft Office Word</Application>
  <DocSecurity>0</DocSecurity>
  <Lines>73</Lines>
  <Paragraphs>20</Paragraphs>
  <ScaleCrop>false</ScaleCrop>
  <Company/>
  <LinksUpToDate>false</LinksUpToDate>
  <CharactersWithSpaces>10368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Adrian Barcutean | vogo.me</cp:lastModifiedBy>
  <cp:revision>25</cp:revision>
  <dcterms:created xsi:type="dcterms:W3CDTF">2026-05-28T20:11:00Z</dcterms:created>
  <dcterms:modified xsi:type="dcterms:W3CDTF">2026-05-28T23:45:00Z</dcterms:modified>
</cp:coreProperties>
</file>