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00"/>
        <w:gridCol w:w="4706"/>
      </w:tblGrid>
      <w:tr w:rsidR="00C45A73" w14:paraId="793ADBE8" w14:textId="77777777">
        <w:tc>
          <w:tcPr>
            <w:tcW w:w="5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F7F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70AC8255" w14:textId="77777777" w:rsidR="00D6464C" w:rsidRDefault="00D6464C" w:rsidP="00D6464C">
            <w:r>
              <w:rPr>
                <w:rFonts w:ascii="Aptos Display" w:hAnsi="Aptos Display"/>
                <w:b/>
                <w:noProof/>
                <w:spacing w:val="-34"/>
                <w:sz w:val="80"/>
                <w:szCs w:val="80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15AA608D" wp14:editId="4446B705">
                      <wp:simplePos x="0" y="0"/>
                      <wp:positionH relativeFrom="column">
                        <wp:posOffset>582168</wp:posOffset>
                      </wp:positionH>
                      <wp:positionV relativeFrom="paragraph">
                        <wp:posOffset>-77343</wp:posOffset>
                      </wp:positionV>
                      <wp:extent cx="252095" cy="252095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AE0E48C" w14:textId="77777777" w:rsidR="00D6464C" w:rsidRPr="00F3345A" w:rsidRDefault="00D6464C" w:rsidP="00D6464C">
                                  <w:pP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  <w:t>®</w:t>
                                  </w:r>
                                  <w: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  <w:tab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5AA608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45.85pt;margin-top:-6.1pt;width:19.85pt;height:19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+pAP8gEAAMwDAAAOAAAAZHJzL2Uyb0RvYy54bWysU8GO0zAQvSPxD5bvNGnUwjaqu1p2WYS0 LEgLH+A4TmNhe4ztNilfz9jJdiu4IXKwZjL287w3z9vr0WhylD4osIwuFyUl0gpold0z+v3b/Zsr SkLktuUarGT0JAO93r1+tR1cLSvoQbfSEwSxoR4co32Mri6KIHppeFiAkxaLHXjDI6Z+X7SeD4hu dFGV5dtiAN86D0KGgH/vpiLdZfyukyJ+6bogI9GMYm8xrz6vTVqL3ZbXe89dr8TcBv+HLgxXFi89 Q93xyMnBq7+gjBIeAnRxIcAU0HVKyMwB2SzLP9g89dzJzAXFCe4sU/h/sOLx+OS+ehLH9zDiADOJ 4B5A/AjEwm3P7V7eeA9DL3mLFy+TZMXgQj0fTVKHOiSQZvgMLQ6ZHyJkoLHzJqmCPAmi4wBOZ9Hl GInAn9W6KjdrSgSW5jjdwOvnw86H+FGCISlg1ONMMzg/PoQ4bX3eku6ycK+0znPVlgyMbtbVOh+4 qBgV0XZaGUavyvRNRkgcP9g2H45c6SnGXrSdSSeeE+M4NiNuTOQbaE9I38NkL3wOGPTgf1EyoLUY DT8P3EtK9CeLEm6Wq1XyYk5W63cVJv6y0lxWuBUIxWikZApvY/bvxPUGpe5UluGlk7lXtEwWcrZ3 8uRlnne9PMLdbwAAAP//AwBQSwMEFAAGAAgAAAAhAM5SrxLeAAAACQEAAA8AAABkcnMvZG93bnJl di54bWxMj0FPwkAQhe8m/ofNmHiD3VYQqZ0So/GqAYXE29Id2sbubNNdaP33LCc8Tt6X977JV6Nt xYl63zhGSKYKBHHpTMMVwvfX++QJhA+ajW4dE8IfeVgVtze5zowbeE2nTahELGGfaYQ6hC6T0pc1 We2nriOO2cH1Vod49pU0vR5iuW1lqtSjtLrhuFDrjl5rKn83R4uw/Tj87Gbqs3qz825wo5JslxLx /m58eQYRaAxXGC76UR2K6LR3RzZetAjLZBFJhEmSpiAuwEMyA7FHSBdzkEUu/39QnAEAAP//AwBQ SwECLQAUAAYACAAAACEAtoM4kv4AAADhAQAAEwAAAAAAAAAAAAAAAAAAAAAAW0NvbnRlbnRfVHlw ZXNdLnhtbFBLAQItABQABgAIAAAAIQA4/SH/1gAAAJQBAAALAAAAAAAAAAAAAAAAAC8BAABfcmVs cy8ucmVsc1BLAQItABQABgAIAAAAIQBO+pAP8gEAAMwDAAAOAAAAAAAAAAAAAAAAAC4CAABkcnMv ZTJvRG9jLnhtbFBLAQItABQABgAIAAAAIQDOUq8S3gAAAAkBAAAPAAAAAAAAAAAAAAAAAEwEAABk cnMvZG93bnJldi54bWxQSwUGAAAAAAQABADzAAAAVwUAAAAA " filled="f" stroked="f">
                      <v:textbox>
                        <w:txbxContent>
                          <w:p w14:paraId="0AE0E48C" w14:textId="77777777" w:rsidR="00D6464C" w:rsidRPr="00F3345A" w:rsidRDefault="00D6464C" w:rsidP="00D6464C">
                            <w:pPr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  <w:t>®</w:t>
                              <w:tab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eastAsia="Arial" w:hAnsi="Arial" w:cs="Arial"/>
                <w:b/>
                <w:bCs/>
                <w:color w:val="FFFFFF"/>
                <w:sz w:val="36"/>
                <w:szCs w:val="36"/>
              </w:rPr>
              <w:t xml:space="preserve">VOGO </w:t>
            </w:r>
            <w:r>
              <w:rPr>
                <w:rFonts w:ascii="Arial" w:eastAsia="Arial" w:hAnsi="Arial" w:cs="Arial"/>
                <w:b/>
                <w:bCs/>
                <w:color w:val="7EC8F5"/>
                <w:sz w:val="36"/>
                <w:szCs w:val="36"/>
              </w:rPr>
              <w:t>eBS</w:t>
            </w:r>
          </w:p>
          <w:p w14:paraId="12BCFB6E" w14:textId="2510EEEA" w:rsidR="00C45A73" w:rsidRDefault="00D6464C" w:rsidP="00D6464C">
            <w:r>
              <w:rPr>
                <w:rFonts w:ascii="Arial" w:eastAsia="Arial" w:hAnsi="Arial" w:cs="Arial"/>
                <w:color w:val="BFD4FF"/>
                <w:sz w:val="18"/>
                <w:szCs w:val="18"/>
              </w:rPr>
              <w:t>Enterprise Business Suite</w:t>
            </w:r>
          </w:p>
        </w:tc>
        <w:tc>
          <w:tcPr>
            <w:tcW w:w="47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70C0"/>
            <w:tcMar>
              <w:top w:w="200" w:type="dxa"/>
              <w:left w:w="240" w:type="dxa"/>
              <w:bottom w:w="200" w:type="dxa"/>
              <w:right w:w="240" w:type="dxa"/>
            </w:tcMar>
            <w:vAlign w:val="center"/>
          </w:tcPr>
          <w:p w14:paraId="770673B7" w14:textId="77777777" w:rsidR="00C45A73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TECHNISCHES DATENBLATT</w:t>
            </w:r>
          </w:p>
          <w:p w14:paraId="4D921BA1" w14:textId="0DD59F7D" w:rsidR="00C45A73" w:rsidRDefault="00D6464C">
            <w:pPr>
              <w:jc w:val="right"/>
            </w:pPr>
            <w:r>
              <w:rPr>
                <w:rFonts w:ascii="Arial" w:eastAsia="Arial" w:hAnsi="Arial" w:cs="Arial"/>
                <w:color w:val="CCE5FF"/>
                <w:sz w:val="15"/>
                <w:szCs w:val="15"/>
              </w:rPr>
              <w:t>VOGO eBS für eVerwaltung</w:t>
            </w:r>
          </w:p>
        </w:tc>
      </w:tr>
    </w:tbl>
    <w:p w14:paraId="62134D1D" w14:textId="77777777" w:rsidR="00C45A73" w:rsidRDefault="00C45A73">
      <w:pPr>
        <w:spacing w:after="100"/>
      </w:pPr>
    </w:p>
    <w:p w14:paraId="198238DD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1. Überblick</w:t>
      </w:r>
    </w:p>
    <w:p w14:paraId="33CC3C45" w14:textId="6AB15ED6" w:rsidR="00C45A73" w:rsidRDefault="001C47A7">
      <w:pPr>
        <w:spacing w:after="80"/>
      </w:pPr>
      <w:r>
        <w:rPr>
          <w:rFonts w:ascii="Arial" w:eastAsia="Arial" w:hAnsi="Arial" w:cs="Arial"/>
          <w:color w:val="444444"/>
        </w:rPr>
        <w:t>VOGO ® eBS für eVerwaltung ist die integrierte</w:t>
      </w:r>
      <w:r>
        <w:rPr>
          <w:rFonts w:ascii="Arial" w:eastAsia="Arial" w:hAnsi="Arial" w:cs="Arial"/>
          <w:color w:val="444444"/>
          <w:lang w:val="ro-RO"/>
        </w:rPr>
        <w:t>ă</w:t>
      </w:r>
      <w:r>
        <w:rPr>
          <w:rFonts w:ascii="Arial" w:eastAsia="Arial" w:hAnsi="Arial" w:cs="Arial"/>
          <w:color w:val="444444"/>
        </w:rPr>
        <w:t>, KI-gestützte eVerwaltungs-Suite, die die Beziehung zwischen öffentlichen Institutionen, Bürgern, Unternehmen und autorisierten Fachleuten digitalisiert. Die Plattform bietet ein modernes Bürgerserviceportal — einen einheitlichen Zugang zu digitalen Diensten — ergänzt durch eine intelligente Formular-Engine (Forms), konfigurierbare Dienste (Services), konversationelle KI-Unterstützung und native mobile Anwendungen, alles in einem sicheren, skalierbaren, europäischen Standards entsprechenden Ökosystem integriert.</w:t>
      </w:r>
    </w:p>
    <w:p w14:paraId="3D30EF92" w14:textId="77777777" w:rsidR="00C45A73" w:rsidRDefault="00C45A73">
      <w:pPr>
        <w:spacing w:after="100"/>
      </w:pPr>
    </w:p>
    <w:p w14:paraId="196378FA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44F02000" wp14:editId="694F70A6">
            <wp:extent cx="4644390" cy="2241811"/>
            <wp:effectExtent l="19050" t="19050" r="22860" b="25400"/>
            <wp:docPr id="1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4" cy="2243652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824C67F" w14:textId="3665EAC9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Abb. 1 — Beispiel eines nationalen digitalen Dienstleistungsportals: Startseite mit Dienstkatalog, ROeID-Authentifizierung und Live-KI-Assistent</w:t>
      </w:r>
    </w:p>
    <w:p w14:paraId="55DFA80A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2. Bürgerserviceportal</w:t>
      </w:r>
    </w:p>
    <w:p w14:paraId="003E606D" w14:textId="77777777" w:rsidR="00C45A73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Einheitlicher Zugang &amp; Dienstkatalog</w:t>
      </w:r>
    </w:p>
    <w:p w14:paraId="7405F270" w14:textId="77777777" w:rsidR="00C45A73" w:rsidRDefault="00000000">
      <w:pPr>
        <w:spacing w:after="80"/>
      </w:pPr>
      <w:r>
        <w:rPr>
          <w:rFonts w:ascii="Arial" w:eastAsia="Arial" w:hAnsi="Arial" w:cs="Arial"/>
          <w:color w:val="444444"/>
        </w:rPr>
        <w:t>Das Portal dient als einheitlicher Zugang für Bürger, Unternehmen und autorisierte Fachleute zu allen digitalen öffentlichen Diensten der Institution.</w:t>
      </w:r>
    </w:p>
    <w:p w14:paraId="23329F69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Bietet einen vollständigen Katalog digitaler Dienste, nach Kategorien geordnet, mit Beschreibung, Fristen, Kosten und erforderlichen Unterlagen für jeden Dienst</w:t>
      </w:r>
    </w:p>
    <w:p w14:paraId="681A5695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Ermöglicht den Zugang zu jedem öffentlichen Dienst über einen 4-Schritte-Assistenten: Beschreibung → Formular → Vorschau → Einreichen</w:t>
      </w:r>
    </w:p>
    <w:p w14:paraId="5578915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Zugänglich von jedem internetfähigen Gerät — Computer, Tablet, Mobiltelefon — mit vollständig responsivem Design, das automatisch an Bildschirmgrößen angepasst wird</w:t>
      </w:r>
    </w:p>
    <w:p w14:paraId="0D6D3A3C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Bietet Mehrsprachigkeitsfähigkeiten für Benutzer aus unterschiedlichen sprachlichen Kontexten</w:t>
      </w:r>
    </w:p>
    <w:p w14:paraId="21096CA0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1CCCFA96" wp14:editId="3774C1A5">
            <wp:extent cx="4421065" cy="2125512"/>
            <wp:effectExtent l="19050" t="19050" r="17780" b="27305"/>
            <wp:docPr id="1853075835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4775" cy="2132104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199094D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lastRenderedPageBreak/>
        <w:t>Abb. 2 — Vollständiger Dienstkatalog: AUT-01, F1, F2 mit Fristen, Kosten und Veröffentlichungsstatus</w:t>
      </w:r>
    </w:p>
    <w:p w14:paraId="670673E9" w14:textId="77777777" w:rsidR="00C45A73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Authentifizierung &amp; Digitale Identität</w:t>
      </w:r>
    </w:p>
    <w:p w14:paraId="7D99A089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Integriert ROeID für die digitale Identifizierung natürlicher Personen, mit automatischer Vorausfüllung der ROeID-Profildaten in Formulare</w:t>
      </w:r>
    </w:p>
    <w:p w14:paraId="09B0ACD9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Integriert eIDAS für die Anerkennung elektronischer Identität auf europäischer Ebene</w:t>
      </w:r>
    </w:p>
    <w:p w14:paraId="59E3A4B9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Integriert ONRC für den automatischen Abruf von Unternehmensdaten (Name, Steuernummer, gesetzlicher Vertreter) über die SPV-Auswahl</w:t>
      </w:r>
    </w:p>
    <w:p w14:paraId="0D332746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Implementiert differenzierte Konten nach Profil: Bürger, Tierarzt, Handelsunternehmen — mit profilspezifischen Funktionen und Informationen</w:t>
      </w:r>
    </w:p>
    <w:p w14:paraId="7E7668A4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Ermöglicht Authentifizierung über Benutzername und Passwort oder anonymen Zugang, mit Möglichkeit zum Upgrade auf ein verifiziertes ROeID-Konto</w:t>
      </w:r>
    </w:p>
    <w:p w14:paraId="1F994EF8" w14:textId="77777777" w:rsidR="00C45A73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Vollständiger digitaler Prozess — von der Anfrage bis zur Bestätigung</w:t>
      </w:r>
    </w:p>
    <w:p w14:paraId="57774F71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Führt den Benutzer durch einen intuitiven mehrstufigen Assistenten mit visuellem Fortschrittsanzeiger</w:t>
      </w:r>
    </w:p>
    <w:p w14:paraId="172F899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Füllt Formularfelder automatisch mit Daten aus ROeID und ONRC vor und eliminiert redundante manuelle Eingaben</w:t>
      </w:r>
    </w:p>
    <w:p w14:paraId="15BEB3D6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Ermöglicht das direkte Anhängen erforderlicher Dokumente aus dem Browser, mit Validierung von Dateityp und -größe</w:t>
      </w:r>
    </w:p>
    <w:p w14:paraId="5005D8E1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Enthält ein integriertes GIS-Kartenfeld für die geografische Verortung von Anfragen (Koordinaten werden automatisch beim Klicken auf die Karte ausgefüllt)</w:t>
      </w:r>
    </w:p>
    <w:p w14:paraId="0B5E1C2A" w14:textId="77777777" w:rsidR="00C45A73" w:rsidRDefault="00C45A73">
      <w:pPr>
        <w:spacing w:after="100"/>
      </w:pPr>
    </w:p>
    <w:p w14:paraId="346B245E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27A53935" wp14:editId="34C7FB71">
            <wp:extent cx="4953000" cy="2400300"/>
            <wp:effectExtent l="19050" t="19050" r="19050" b="19050"/>
            <wp:docPr id="1254482943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40030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D5EEAF7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Abb. 3 — Schritt 1/4: AUT-01 Dienstbeschreibung mit Assistenten-Ablauf, Fristen und erforderlichen Anhängen</w:t>
      </w:r>
    </w:p>
    <w:p w14:paraId="0D68BDC8" w14:textId="77777777" w:rsidR="00C45A73" w:rsidRDefault="00C45A73">
      <w:pPr>
        <w:spacing w:after="100"/>
      </w:pPr>
    </w:p>
    <w:p w14:paraId="0645500A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26F15409" wp14:editId="5D2FBC4D">
            <wp:extent cx="3552093" cy="2568436"/>
            <wp:effectExtent l="19050" t="19050" r="10795" b="22860"/>
            <wp:docPr id="1241125467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964" cy="2576297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C1C53D2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Abb. 4 — Schritt 2/4: Formularausfüllung mit GIS-Karte, CUI/CIF automatisch aus ONRC- und ROeID-Daten befüllt</w:t>
      </w:r>
    </w:p>
    <w:p w14:paraId="55C85E01" w14:textId="77777777" w:rsidR="00C45A73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lastRenderedPageBreak/>
        <w:t xml:space="preserve">  Digitale Handschriftliche Unterschrift &amp; Abschluss</w:t>
      </w:r>
    </w:p>
    <w:p w14:paraId="02CB277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Enthält ein digitales handschriftliches Unterschriftsmodul direkt im Browser, mit Maus oder Finger auf dem Touchscreen</w:t>
      </w:r>
    </w:p>
    <w:p w14:paraId="46B6485D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Ermöglicht die vollständige Vorschau des ausgefüllten und unterschriebenen Formulars vor der Einreichung</w:t>
      </w:r>
    </w:p>
    <w:p w14:paraId="5A02F7D8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Generiert automatisch das PDF der unterschriebenen Anfrage, zum Download oder per E-Mail-Zustellung verfügbar</w:t>
      </w:r>
    </w:p>
    <w:p w14:paraId="3EEB0511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Bestätigt die Einreichung mit einer Registrierungsnummer und ermöglicht die Verfolgung des Anfragestatus</w:t>
      </w:r>
    </w:p>
    <w:p w14:paraId="5C0FF0FD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72DD9AC6" wp14:editId="02E435D3">
            <wp:extent cx="3089633" cy="1521050"/>
            <wp:effectExtent l="19050" t="19050" r="15875" b="22225"/>
            <wp:docPr id="1769576640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9999" cy="1531076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A9CF432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Abb. 5 — Digitale handschriftliche Unterschrift: direkt im Browser mit Maus oder Touchscreen erfasst</w:t>
      </w:r>
    </w:p>
    <w:p w14:paraId="1CEB29F8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00E4036E" wp14:editId="2DDF4663">
            <wp:extent cx="2580929" cy="1930734"/>
            <wp:effectExtent l="19050" t="19050" r="10160" b="12700"/>
            <wp:docPr id="1649915748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9" cy="1945247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4B5DF92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Abb. 6 — Schritt 4/4: Einreichung abgeschlossen — PDF-Download und E-Mail-Zustellung</w:t>
      </w:r>
    </w:p>
    <w:p w14:paraId="504E9AA9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3. WCAG-Barrierefreiheit &amp; Live-KI-Assistent</w:t>
      </w:r>
    </w:p>
    <w:p w14:paraId="72902F31" w14:textId="77777777" w:rsidR="00C45A73" w:rsidRDefault="00000000">
      <w:pPr>
        <w:spacing w:after="80"/>
      </w:pPr>
      <w:r>
        <w:rPr>
          <w:rFonts w:ascii="Arial" w:eastAsia="Arial" w:hAnsi="Arial" w:cs="Arial"/>
          <w:color w:val="444444"/>
        </w:rPr>
        <w:t>Die Plattform entspricht dem WCAG-Standard für Web-Barrierefreiheit und enthält einen konversationellen KI-Assistenten, der dauerhaft für Benutzer verfügbar ist.</w:t>
      </w:r>
    </w:p>
    <w:p w14:paraId="206F56ED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Entspricht der Charta der Grundrechte der Europäischen Union und Art. 9 der UN-Konvention über die Rechte von Menschen mit Behinderungen</w:t>
      </w:r>
    </w:p>
    <w:p w14:paraId="6A6679C4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Bietet ein umfassendes Barrierefreiheitsoptionen-Panel: Text-Zoom ein/aus, hoher Kontrast, Dunkelmodus, Graustufen, lesbare Schriftart, Links unterstreichen, großer Cursor, Animationen stoppen</w:t>
      </w:r>
    </w:p>
    <w:p w14:paraId="785A52D4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Unterstützt Bildschirmlesegeräte, reine Tastaturnavigation und einstellbaren Kontrast</w:t>
      </w:r>
    </w:p>
    <w:p w14:paraId="3C288E2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Enthält den Live-KI-Assistenten, der in der Seitenecke verfügbar, 24/7 aktiv und bereit ist, den Benutzer beim Abschluss jedes Dienstes zu führen</w:t>
      </w:r>
    </w:p>
    <w:p w14:paraId="7AE2EAE6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Der KI-Assistent arbeitet im Human-in-the-Loop (HITL)-Modus: Er kann das Gespräch bei Bedarf an einen menschlichen Operator übergeben</w:t>
      </w:r>
    </w:p>
    <w:p w14:paraId="1E1DCEC0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0DE10008" wp14:editId="37750944">
            <wp:extent cx="3087677" cy="1484459"/>
            <wp:effectExtent l="19050" t="19050" r="17780" b="20955"/>
            <wp:docPr id="230471630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274" cy="1489554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78914C86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Abb. 7 — WCAG-Barrierefreiheitspanel und aktiver Live-KI-Assistent (HITL)</w:t>
      </w:r>
    </w:p>
    <w:p w14:paraId="7931BA65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lastRenderedPageBreak/>
        <w:t xml:space="preserve">  4. Administration &amp; Backend — VOGO eBS Services</w:t>
      </w:r>
    </w:p>
    <w:p w14:paraId="03C8AF81" w14:textId="77777777" w:rsidR="00C45A73" w:rsidRDefault="00000000">
      <w:pPr>
        <w:spacing w:after="80"/>
      </w:pPr>
      <w:r>
        <w:rPr>
          <w:rFonts w:ascii="Arial" w:eastAsia="Arial" w:hAnsi="Arial" w:cs="Arial"/>
          <w:color w:val="444444"/>
        </w:rPr>
        <w:t>Die Plattform bietet Administratoren ein umfassendes Backend zum Erstellen, Konfigurieren und Veröffentlichen digitaler Dienste.</w:t>
      </w:r>
    </w:p>
    <w:p w14:paraId="45019040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Ermöglicht das Erstellen von Diensten aus vordefinierten Vorlagen oder von Grund auf, ohne Code schreiben zu müssen</w:t>
      </w:r>
    </w:p>
    <w:p w14:paraId="6807BD6A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Konfiguriert Fristen, Kosten, erforderliche Dokumente, Formularvorlagen und Genehmigungsabläufe pro Dienst</w:t>
      </w:r>
    </w:p>
    <w:p w14:paraId="0BFA875E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Verwaltet den Status jedes Dienstes: Entwurf → Veröffentlicht, mit granularer Sichtbarkeitskontrolle</w:t>
      </w:r>
    </w:p>
    <w:p w14:paraId="2527DE4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Bietet Werkzeuge zur Überwachung der Plattformleistung sowie Verkehrs- und Nutzungsberichte</w:t>
      </w:r>
    </w:p>
    <w:p w14:paraId="05879F1E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Ermöglicht die Verwaltung von Benutzerkonten, Berechtigungen und Zugriffsprofilen</w:t>
      </w:r>
    </w:p>
    <w:p w14:paraId="3EEFFA65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Enthält ein Content-Management-System (CMS) für die schnelle Aktualisierung öffentlicher Informationen ohne technischen Eingriff</w:t>
      </w:r>
    </w:p>
    <w:p w14:paraId="1765CCE3" w14:textId="77777777" w:rsidR="00C45A73" w:rsidRDefault="00C45A73">
      <w:pPr>
        <w:spacing w:after="100"/>
      </w:pPr>
    </w:p>
    <w:p w14:paraId="3771CBED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01A492E6" wp14:editId="7EDEE729">
            <wp:extent cx="4953000" cy="2247900"/>
            <wp:effectExtent l="19050" t="19050" r="19050" b="19050"/>
            <wp:docPr id="1940983371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24790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3A90410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Abb. 8 — VOGO eBS Services Backend: Dienstverwaltung, Vorlagen, Status und Konfiguration</w:t>
      </w:r>
    </w:p>
    <w:p w14:paraId="260D9FCC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5. Mobile Anwendung — VOGO MAF (Mobile Application Framework)</w:t>
      </w:r>
    </w:p>
    <w:p w14:paraId="73B8219C" w14:textId="77777777" w:rsidR="00C45A73" w:rsidRDefault="00000000">
      <w:pPr>
        <w:spacing w:after="80"/>
      </w:pPr>
      <w:r>
        <w:rPr>
          <w:rFonts w:ascii="Arial" w:eastAsia="Arial" w:hAnsi="Arial" w:cs="Arial"/>
          <w:color w:val="444444"/>
        </w:rPr>
        <w:t>VOGO eBS Gov Series™ enthält native iOS- und Android-Mobilanwendungen für Bürger, die mit demselben Portal-Ökosystem verbunden sind.</w:t>
      </w:r>
    </w:p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3506"/>
      </w:tblGrid>
      <w:tr w:rsidR="00C45A73" w14:paraId="5E2A71AF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0" w:type="dxa"/>
              <w:bottom w:w="80" w:type="dxa"/>
              <w:right w:w="200" w:type="dxa"/>
            </w:tcMar>
          </w:tcPr>
          <w:p w14:paraId="79EE48F7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Ermöglicht den Zugang zu allen relevanten öffentlichen Diensten des Portals direkt vom Mobilgerät</w:t>
            </w:r>
          </w:p>
          <w:p w14:paraId="45723021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Vollständig responsives Design, automatisch an die Bildschirmgrößen von Telefonen und Tablets angepasst</w:t>
            </w:r>
          </w:p>
          <w:p w14:paraId="48AD3A54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Ermöglicht Offline-Arbeit: Dateneingabe und Ereignisse werden lokal auf dem Gerät gespeichert, mit automatischer Synchronisierung bei Wiederverbindung</w:t>
            </w:r>
          </w:p>
          <w:p w14:paraId="38A38846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Sendet Push-Benachrichtigungen an den Bürger bei jeder Änderung oder jedem Fortschritt seiner Anfragen</w:t>
            </w:r>
          </w:p>
          <w:p w14:paraId="74AFC483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Gewährleistet die Kommunikation ausschließlich über sichere Kanäle (SSL/TLS) zwischen Terminal und Servern</w:t>
            </w:r>
          </w:p>
          <w:p w14:paraId="1612C2B0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Ermöglicht die Authentifizierung von Landwirten über 3 Datenpunkte: Betriebscode, letzte Ziffern der Personalausweisnummer, Tierkennzeichnung aus dem Register</w:t>
            </w:r>
          </w:p>
          <w:p w14:paraId="68C39F65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Ermöglicht die Einsicht in das aktuelle Betriebsregister, auch im Offline-Modus</w:t>
            </w:r>
          </w:p>
          <w:p w14:paraId="33C6CE24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Unterstützt digitale handschriftliche Unterschrift direkt auf dem Touchscreen des Mobilgeräts</w:t>
            </w:r>
          </w:p>
          <w:p w14:paraId="5A3BA3F0" w14:textId="77777777" w:rsidR="00C45A73" w:rsidRDefault="00000000">
            <w:pPr>
              <w:spacing w:after="60"/>
              <w:rPr>
                <w:rFonts w:ascii="Arial" w:eastAsia="Arial" w:hAnsi="Arial" w:cs="Arial"/>
                <w:color w:val="444444"/>
              </w:rPr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Generiert und sendet unterschriebene PDFs direkt per E-Mail aus der Anwendung</w:t>
            </w:r>
          </w:p>
          <w:p w14:paraId="37FC4A13" w14:textId="77777777" w:rsidR="00855EAB" w:rsidRDefault="00855EAB">
            <w:pPr>
              <w:spacing w:after="60"/>
              <w:rPr>
                <w:rFonts w:ascii="Arial" w:eastAsia="Arial" w:hAnsi="Arial" w:cs="Arial"/>
                <w:color w:val="444444"/>
              </w:rPr>
            </w:pPr>
          </w:p>
          <w:p w14:paraId="6CDF1CDB" w14:textId="77777777" w:rsidR="00855EAB" w:rsidRDefault="00855EAB">
            <w:pPr>
              <w:spacing w:after="60"/>
            </w:pPr>
          </w:p>
        </w:tc>
        <w:tc>
          <w:tcPr>
            <w:tcW w:w="35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4662FF56" w14:textId="77777777" w:rsidR="00C45A73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38D85D7" wp14:editId="2073898D">
                  <wp:extent cx="1387720" cy="2497896"/>
                  <wp:effectExtent l="19050" t="19050" r="22225" b="17145"/>
                  <wp:docPr id="109449589" name="mobile" descr="Aplicatie mobila VOGO Gov" title="Mobi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1106" cy="252199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EA50CB" w14:textId="77777777" w:rsidR="00C45A73" w:rsidRDefault="00000000">
            <w:pPr>
              <w:spacing w:before="60"/>
              <w:jc w:val="center"/>
            </w:pPr>
            <w:r>
              <w:rPr>
                <w:rFonts w:ascii="Arial" w:eastAsia="Arial" w:hAnsi="Arial" w:cs="Arial"/>
                <w:i/>
                <w:iCs/>
                <w:color w:val="0070C0"/>
                <w:sz w:val="16"/>
                <w:szCs w:val="16"/>
              </w:rPr>
              <w:t>Responsives Design — Mobilansicht</w:t>
            </w:r>
          </w:p>
        </w:tc>
      </w:tr>
    </w:tbl>
    <w:p w14:paraId="1D581CAB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lastRenderedPageBreak/>
        <w:t xml:space="preserve">  6. Sicherheit &amp; DSGVO-Konformität</w:t>
      </w:r>
    </w:p>
    <w:p w14:paraId="58509AA5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Implementiert robuste Authentifizierung und Autorisierung mit differenzierten Profilen: Bürger, autorisierter Fachmann, Handelsunternehmen</w:t>
      </w:r>
    </w:p>
    <w:p w14:paraId="27499392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Verschlüsselt alle Kommunikationen zwischen Benutzer und Servern über SSL/TLS</w:t>
      </w:r>
    </w:p>
    <w:p w14:paraId="4CAF0388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Speichert persönliche und kommerzielle Daten sicher, mit regelmäßigen Audits und fortschrittlichen Überwachungsmechanismen</w:t>
      </w:r>
    </w:p>
    <w:p w14:paraId="71275AC9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Entspricht vollständig den DSGVO-Anforderungen zum Schutz personenbezogener Daten</w:t>
      </w:r>
    </w:p>
    <w:p w14:paraId="0DD2BDD2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Gewährleistet ein vollständiges Prüfprotokoll aller Aktionen auf der Plattform</w:t>
      </w:r>
    </w:p>
    <w:p w14:paraId="68C8CADF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Integriert ROeID und eIDAS für verifizierte digitale Identifizierung auf nationaler und europäischer Ebene</w:t>
      </w:r>
    </w:p>
    <w:p w14:paraId="7A1BC5F1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7. Unterstützte Integrationen</w:t>
      </w:r>
    </w:p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7306"/>
      </w:tblGrid>
      <w:tr w:rsidR="00C45A73" w14:paraId="6978B1E0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85B533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ROeID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8528BD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Digitale Identifizierung natürlicher Personen, Vorausfüllung von Formulardaten, maskierte Personalausweisnummer</w:t>
            </w:r>
          </w:p>
        </w:tc>
      </w:tr>
      <w:tr w:rsidR="00C45A73" w14:paraId="049DCB02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4CC8B2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eIDAS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BC4B33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Anerkennung elektronischer Identität auf europäischer Ebene</w:t>
            </w:r>
          </w:p>
        </w:tc>
      </w:tr>
      <w:tr w:rsidR="00C45A73" w14:paraId="7DEE6356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81B949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ONRC / SPV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ADE9C7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Automatischer Abruf von Unternehmensdaten: Name, Steuernummer, gesetzlicher Vertreter</w:t>
            </w:r>
          </w:p>
        </w:tc>
      </w:tr>
      <w:tr w:rsidR="00C45A73" w14:paraId="703D3630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65D7BF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GIS Module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129DD2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Interaktives Kartenfeld in Formularen, Adress-Geocodierung, Anfragestandort</w:t>
            </w:r>
          </w:p>
        </w:tc>
      </w:tr>
      <w:tr w:rsidR="00C45A73" w14:paraId="44D1373A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54B26A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DMS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4D8AC4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Persistente elektronische Akte pro Antragsteller, in allen Plattformmodulen sichtbar</w:t>
            </w:r>
          </w:p>
        </w:tc>
      </w:tr>
      <w:tr w:rsidR="00C45A73" w14:paraId="22F7D9E5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40847D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AI Chatbot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276FC6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Live-24/7-Assistent, HITL, Formularausfüllungsführung, Multi-Kanal-Unterstützung</w:t>
            </w:r>
          </w:p>
        </w:tc>
      </w:tr>
      <w:tr w:rsidR="00C45A73" w14:paraId="3E36127D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6EED4D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Email / SMS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9264E9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Automatische Anfragestatus-Benachrichtigungen, Zustellung unterschriebener PDFs, Bestätigungen</w:t>
            </w:r>
          </w:p>
        </w:tc>
      </w:tr>
      <w:tr w:rsidR="00C45A73" w14:paraId="46B785CD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702911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Zahlungssystem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E43AFB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Zahlung von Gebühren und Tarifen für Dienste direkt aus dem Portal</w:t>
            </w:r>
          </w:p>
        </w:tc>
      </w:tr>
    </w:tbl>
    <w:p w14:paraId="0994E26B" w14:textId="77777777" w:rsidR="00C45A73" w:rsidRDefault="00C45A73">
      <w:pPr>
        <w:spacing w:after="100"/>
      </w:pPr>
    </w:p>
    <w:p w14:paraId="4793D956" w14:textId="77777777" w:rsidR="008A0357" w:rsidRDefault="008A0357">
      <w:pPr>
        <w:spacing w:after="100"/>
      </w:pPr>
    </w:p>
    <w:p w14:paraId="527636F1" w14:textId="77777777" w:rsidR="00AE23CA" w:rsidRPr="005D122B" w:rsidRDefault="00AE23CA" w:rsidP="00AE23CA">
      <w:pPr>
        <w:shd w:val="clear" w:color="auto" w:fill="1B3F7F"/>
        <w:spacing w:before="320" w:after="120"/>
        <w:rPr>
          <w:rFonts w:ascii="Arial" w:eastAsia="Arial" w:hAnsi="Arial" w:cs="Arial"/>
          <w:b/>
          <w:bCs/>
          <w:color w:val="FFFFFF"/>
          <w:sz w:val="24"/>
          <w:szCs w:val="24"/>
        </w:rPr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  Branchen &amp; Häufige Anwendungen</w:t>
      </w:r>
    </w:p>
    <w:p w14:paraId="064C269B" w14:textId="77777777" w:rsidR="008A0357" w:rsidRDefault="008A0357" w:rsidP="00AE23CA">
      <w:pPr>
        <w:spacing w:after="80"/>
        <w:rPr>
          <w:rFonts w:ascii="Arial" w:eastAsia="Arial" w:hAnsi="Arial" w:cs="Arial"/>
          <w:color w:val="444444"/>
        </w:rPr>
      </w:pPr>
    </w:p>
    <w:p w14:paraId="1C269C36" w14:textId="0E058F03" w:rsidR="00AE23CA" w:rsidRDefault="00AE23CA" w:rsidP="00AE23CA">
      <w:pPr>
        <w:spacing w:after="80"/>
        <w:rPr>
          <w:rFonts w:ascii="Arial" w:eastAsia="Arial" w:hAnsi="Arial" w:cs="Arial"/>
          <w:color w:val="444444"/>
        </w:rPr>
      </w:pPr>
      <w:r>
        <w:rPr>
          <w:rFonts w:ascii="Arial" w:eastAsia="Arial" w:hAnsi="Arial" w:cs="Arial"/>
          <w:color w:val="444444"/>
        </w:rPr>
        <w:t>Das eVerwaltungsmodul wird am häufigsten in Organisationen angefordert, die eine intensive Beziehung zu Bürgern und dem Unternehmensumfeld pflegen — wo ein großes Volumen an repetitiven Interaktionen, standardisierbaren Formularen und Digitalisierungsdruck durch europäische Richtlinien besteht:</w:t>
      </w:r>
    </w:p>
    <w:p w14:paraId="527FA5B2" w14:textId="77777777" w:rsidR="008A0357" w:rsidRPr="005D122B" w:rsidRDefault="008A0357" w:rsidP="00AE23CA">
      <w:pPr>
        <w:spacing w:after="80"/>
        <w:rPr>
          <w:rFonts w:ascii="Arial" w:eastAsia="Arial" w:hAnsi="Arial" w:cs="Arial"/>
          <w:color w:val="444444"/>
        </w:rPr>
      </w:pPr>
    </w:p>
    <w:p w14:paraId="6B9CE6AF" w14:textId="03E03D47" w:rsidR="00AE23CA" w:rsidRDefault="00AE23CA" w:rsidP="00B31606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Lokale &amp; Zentrale öffentliche Verwaltung</w:t>
      </w:r>
      <w:r>
        <w:rPr>
          <w:rFonts w:ascii="Arial" w:eastAsia="Arial" w:hAnsi="Arial" w:cs="Arial"/>
          <w:color w:val="444444"/>
        </w:rPr>
        <w:t>; Gemeinden, Kreisräte, Präfekturen — Ausstellung von Baugenehmigungen, Stadtplanungszertifikaten, Veranstaltungsregistrierung, Anfragen auf öffentliche Informationen, Online-Zahlung lokaler Steuern und Gebühren usw.</w:t>
      </w:r>
    </w:p>
    <w:p w14:paraId="171A5426" w14:textId="343A3ADC" w:rsidR="00AE23CA" w:rsidRDefault="00AE23CA" w:rsidP="00925ED8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Öffentliche &amp; Veterinärgesundheit</w:t>
      </w:r>
      <w:r>
        <w:rPr>
          <w:rFonts w:ascii="Arial" w:eastAsia="Arial" w:hAnsi="Arial" w:cs="Arial"/>
          <w:color w:val="444444"/>
        </w:rPr>
        <w:t>; Genehmigung von Einheiten, Krankenhäusern, Ärzten, Terminen, Berichterstattung, offizielle Inspektionen und Kontrollen, Dokumentenausstellung, Rückverfolgbarkeit, Elemente im Zusammenhang mit der öffentlichen Gesundheit.</w:t>
      </w:r>
    </w:p>
    <w:p w14:paraId="11FF05D0" w14:textId="6128809C" w:rsidR="00AE23CA" w:rsidRDefault="00AE23CA" w:rsidP="00925ED8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Landwirtschaft &amp; Umwelt</w:t>
      </w:r>
      <w:r>
        <w:rPr>
          <w:rFonts w:ascii="Arial" w:eastAsia="Arial" w:hAnsi="Arial" w:cs="Arial"/>
          <w:color w:val="444444"/>
        </w:rPr>
        <w:t>; Förderanträge, Erklärungen zu landwirtschaftlichen Flächen, Umweltberichte, Umweltgenehmigungen, Betriebsüberwachung, Verwaltung des Landwirtschaftsregisters.</w:t>
      </w:r>
    </w:p>
    <w:p w14:paraId="0F12EED6" w14:textId="64584943" w:rsidR="00AE23CA" w:rsidRDefault="00AE23CA" w:rsidP="00925ED8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Bildung</w:t>
      </w:r>
      <w:r>
        <w:rPr>
          <w:rFonts w:ascii="Arial" w:eastAsia="Arial" w:hAnsi="Arial" w:cs="Arial"/>
          <w:color w:val="444444"/>
        </w:rPr>
        <w:t>; Schulaufsichtsbehörden, Universitäten — Online-Einschreibung, Stipendienanträge, Diploma-Anerkennung, statistische Berichte, Kommunikation mit Eltern und Studierenden, Verwaltung akademischer Dokumente.</w:t>
      </w:r>
    </w:p>
    <w:p w14:paraId="2FB429CC" w14:textId="0A3A59E2" w:rsidR="00AE23CA" w:rsidRDefault="00AE23CA" w:rsidP="004B2B89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Menschliche Gesundheit</w:t>
      </w:r>
      <w:r>
        <w:rPr>
          <w:rFonts w:ascii="Arial" w:eastAsia="Arial" w:hAnsi="Arial" w:cs="Arial"/>
          <w:color w:val="444444"/>
        </w:rPr>
        <w:t>; Kreiskrankenversicherungskassen, öffentliche Krankenhäuser — Online-Termine, Erstattungsanträge, Registrierung von Gesundheitsdienstleistern, Vertragsberichterstattung mit der Krankenversicherungskasse.</w:t>
      </w:r>
    </w:p>
    <w:p w14:paraId="2A6DC88E" w14:textId="182A60D8" w:rsidR="00AE23CA" w:rsidRDefault="00AE23CA" w:rsidP="00883A75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Öffentliche Versorgungsunternehmen &amp; Infrastruktur</w:t>
      </w:r>
      <w:r>
        <w:rPr>
          <w:rFonts w:ascii="Arial" w:eastAsia="Arial" w:hAnsi="Arial" w:cs="Arial"/>
          <w:color w:val="444444"/>
        </w:rPr>
        <w:t>; Wasser-, Heizungs- und Sanitärbetreiber — Anschlussanträge, Störungsmeldungen, Online-Zählerablesung, Rechnungszahlungen, Benachrichtigungen über Dienstunterbrechungen, öffentliches Bürgerportal.</w:t>
      </w:r>
    </w:p>
    <w:p w14:paraId="5B7BB9D9" w14:textId="7323024D" w:rsidR="00AE23CA" w:rsidRDefault="00AE23CA" w:rsidP="00C42C4C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Öffentliche Ordnung &amp; Sicherheit</w:t>
      </w:r>
      <w:r>
        <w:rPr>
          <w:rFonts w:ascii="Arial" w:eastAsia="Arial" w:hAnsi="Arial" w:cs="Arial"/>
          <w:color w:val="444444"/>
        </w:rPr>
        <w:t>; Lokale Polizei, Notfalldienste, Zivilschutz — Genehmigungsanträge für Veranstaltungen, Vorfallmeldung, Genehmigungsanträge für Hochrisiko-Aktivitäten, Verwaltung von Interventionsakten.</w:t>
      </w:r>
    </w:p>
    <w:p w14:paraId="63A0CE81" w14:textId="5DA00CE8" w:rsidR="00AE23CA" w:rsidRDefault="00AE23CA" w:rsidP="008D3AE6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lastRenderedPageBreak/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Nationale Register &amp; Berufszulassung</w:t>
      </w:r>
      <w:r>
        <w:rPr>
          <w:rFonts w:ascii="Arial" w:eastAsia="Arial" w:hAnsi="Arial" w:cs="Arial"/>
          <w:color w:val="444444"/>
        </w:rPr>
        <w:t>; Berufsverbände (Ärzte, Anwälte, Architekten, Apotheker) — Mitgliederregistrierung, Verlängerung von Zulassungen, CPD-Berichterstattung, Mitgliederkommunikation, Veröffentlichung öffentlicher Register.</w:t>
      </w:r>
    </w:p>
    <w:p w14:paraId="618F3D4D" w14:textId="792515D1" w:rsidR="00AE23CA" w:rsidRDefault="00AE23CA" w:rsidP="008A0357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Transport &amp; Öffentliche Logistik</w:t>
      </w:r>
      <w:r>
        <w:rPr>
          <w:rFonts w:ascii="Arial" w:eastAsia="Arial" w:hAnsi="Arial" w:cs="Arial"/>
          <w:color w:val="444444"/>
        </w:rPr>
        <w:t>; Straßenbehörden, Hafen-/Flughafenbehörden, öffentliche Einrichtungen — Transportgenehmigungen, technische Inspektionen, Betreiberlizenzen, Vorfallmeldung, Fahrzeugkonformitätszertifikate.</w:t>
      </w:r>
    </w:p>
    <w:p w14:paraId="26EAE027" w14:textId="03C1874C" w:rsidR="00AE23CA" w:rsidRDefault="00AE23CA" w:rsidP="00AE23CA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color w:val="444444"/>
        </w:rPr>
        <w:t>Fragen Sie nach weiteren Informationen, falls Ihre Branche oben nicht aufgeführt ist</w:t>
      </w:r>
    </w:p>
    <w:p w14:paraId="76B0E747" w14:textId="77777777" w:rsidR="008A0357" w:rsidRDefault="008A0357" w:rsidP="00AE23CA">
      <w:pPr>
        <w:spacing w:after="80"/>
        <w:rPr>
          <w:rFonts w:ascii="Arial" w:eastAsia="Arial" w:hAnsi="Arial" w:cs="Arial"/>
          <w:color w:val="444444"/>
        </w:rPr>
      </w:pPr>
    </w:p>
    <w:p w14:paraId="37D3C696" w14:textId="77777777" w:rsidR="00AE23CA" w:rsidRDefault="00AE23CA">
      <w:pPr>
        <w:spacing w:after="100"/>
      </w:pPr>
    </w:p>
    <w:sectPr w:rsidR="00AE23CA">
      <w:footerReference w:type="default" r:id="rId16"/>
      <w:pgSz w:w="11906" w:h="16838"/>
      <w:pgMar w:top="720" w:right="800" w:bottom="720" w:left="8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B6094A" w14:textId="77777777" w:rsidR="009C2AE4" w:rsidRDefault="009C2AE4" w:rsidP="008D04D0">
      <w:r>
        <w:separator/>
      </w:r>
    </w:p>
  </w:endnote>
  <w:endnote w:type="continuationSeparator" w:id="0">
    <w:p w14:paraId="00B68FC3" w14:textId="77777777" w:rsidR="009C2AE4" w:rsidRDefault="009C2AE4" w:rsidP="008D0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E782C" w14:textId="5F51DACF" w:rsidR="008D04D0" w:rsidRDefault="008D04D0" w:rsidP="008D04D0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51FEFC" w14:textId="77777777" w:rsidR="009C2AE4" w:rsidRDefault="009C2AE4" w:rsidP="008D04D0">
      <w:r>
        <w:separator/>
      </w:r>
    </w:p>
  </w:footnote>
  <w:footnote w:type="continuationSeparator" w:id="0">
    <w:p w14:paraId="0AA598D6" w14:textId="77777777" w:rsidR="009C2AE4" w:rsidRDefault="009C2AE4" w:rsidP="008D04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3458F"/>
    <w:multiLevelType w:val="hybridMultilevel"/>
    <w:tmpl w:val="7170301C"/>
    <w:lvl w:ilvl="0" w:tplc="03E6CCA6">
      <w:start w:val="1"/>
      <w:numFmt w:val="bullet"/>
      <w:lvlText w:val="●"/>
      <w:lvlJc w:val="left"/>
      <w:pPr>
        <w:ind w:left="720" w:hanging="360"/>
      </w:pPr>
    </w:lvl>
    <w:lvl w:ilvl="1" w:tplc="9064DCFA">
      <w:start w:val="1"/>
      <w:numFmt w:val="bullet"/>
      <w:lvlText w:val="○"/>
      <w:lvlJc w:val="left"/>
      <w:pPr>
        <w:ind w:left="1440" w:hanging="360"/>
      </w:pPr>
    </w:lvl>
    <w:lvl w:ilvl="2" w:tplc="078E35D2">
      <w:start w:val="1"/>
      <w:numFmt w:val="bullet"/>
      <w:lvlText w:val="■"/>
      <w:lvlJc w:val="left"/>
      <w:pPr>
        <w:ind w:left="2160" w:hanging="360"/>
      </w:pPr>
    </w:lvl>
    <w:lvl w:ilvl="3" w:tplc="47D4168C">
      <w:start w:val="1"/>
      <w:numFmt w:val="bullet"/>
      <w:lvlText w:val="●"/>
      <w:lvlJc w:val="left"/>
      <w:pPr>
        <w:ind w:left="2880" w:hanging="360"/>
      </w:pPr>
    </w:lvl>
    <w:lvl w:ilvl="4" w:tplc="61B6E732">
      <w:start w:val="1"/>
      <w:numFmt w:val="bullet"/>
      <w:lvlText w:val="○"/>
      <w:lvlJc w:val="left"/>
      <w:pPr>
        <w:ind w:left="3600" w:hanging="360"/>
      </w:pPr>
    </w:lvl>
    <w:lvl w:ilvl="5" w:tplc="09BE2C86">
      <w:start w:val="1"/>
      <w:numFmt w:val="bullet"/>
      <w:lvlText w:val="■"/>
      <w:lvlJc w:val="left"/>
      <w:pPr>
        <w:ind w:left="4320" w:hanging="360"/>
      </w:pPr>
    </w:lvl>
    <w:lvl w:ilvl="6" w:tplc="63E6CAD4">
      <w:start w:val="1"/>
      <w:numFmt w:val="bullet"/>
      <w:lvlText w:val="●"/>
      <w:lvlJc w:val="left"/>
      <w:pPr>
        <w:ind w:left="5040" w:hanging="360"/>
      </w:pPr>
    </w:lvl>
    <w:lvl w:ilvl="7" w:tplc="B1160976">
      <w:start w:val="1"/>
      <w:numFmt w:val="bullet"/>
      <w:lvlText w:val="●"/>
      <w:lvlJc w:val="left"/>
      <w:pPr>
        <w:ind w:left="5760" w:hanging="360"/>
      </w:pPr>
    </w:lvl>
    <w:lvl w:ilvl="8" w:tplc="3790E3CA">
      <w:start w:val="1"/>
      <w:numFmt w:val="bullet"/>
      <w:lvlText w:val="●"/>
      <w:lvlJc w:val="left"/>
      <w:pPr>
        <w:ind w:left="6480" w:hanging="360"/>
      </w:pPr>
    </w:lvl>
  </w:abstractNum>
  <w:num w:numId="1" w16cid:durableId="17538757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A73"/>
    <w:rsid w:val="00113D62"/>
    <w:rsid w:val="00145786"/>
    <w:rsid w:val="00175D6B"/>
    <w:rsid w:val="001C47A7"/>
    <w:rsid w:val="0023472D"/>
    <w:rsid w:val="002418B7"/>
    <w:rsid w:val="003332F8"/>
    <w:rsid w:val="0037720F"/>
    <w:rsid w:val="004B2B89"/>
    <w:rsid w:val="005477E7"/>
    <w:rsid w:val="00674162"/>
    <w:rsid w:val="00855EAB"/>
    <w:rsid w:val="00883A75"/>
    <w:rsid w:val="008A0357"/>
    <w:rsid w:val="008D04D0"/>
    <w:rsid w:val="008D3AE6"/>
    <w:rsid w:val="00925ED8"/>
    <w:rsid w:val="009318C4"/>
    <w:rsid w:val="009C2AE4"/>
    <w:rsid w:val="00A62B5B"/>
    <w:rsid w:val="00AE23CA"/>
    <w:rsid w:val="00B31606"/>
    <w:rsid w:val="00BC6B0D"/>
    <w:rsid w:val="00BF2DEB"/>
    <w:rsid w:val="00C42C4C"/>
    <w:rsid w:val="00C45A73"/>
    <w:rsid w:val="00C6018D"/>
    <w:rsid w:val="00C762CC"/>
    <w:rsid w:val="00D6464C"/>
    <w:rsid w:val="00F6143E"/>
    <w:rsid w:val="00FB1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F23EB"/>
  <w15:docId w15:val="{97970901-7475-451A-952E-FFCA3A5E2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D04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04D0"/>
  </w:style>
  <w:style w:type="paragraph" w:styleId="Footer">
    <w:name w:val="footer"/>
    <w:basedOn w:val="Normal"/>
    <w:link w:val="FooterChar"/>
    <w:uiPriority w:val="99"/>
    <w:unhideWhenUsed/>
    <w:rsid w:val="008D04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04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1639</Words>
  <Characters>9345</Characters>
  <Application>Microsoft Office Word</Application>
  <DocSecurity>0</DocSecurity>
  <Lines>77</Lines>
  <Paragraphs>21</Paragraphs>
  <ScaleCrop>false</ScaleCrop>
  <Company/>
  <LinksUpToDate>false</LinksUpToDate>
  <CharactersWithSpaces>10963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Adrian Barcutean | vogo.me</cp:lastModifiedBy>
  <cp:revision>31</cp:revision>
  <dcterms:created xsi:type="dcterms:W3CDTF">2026-05-28T21:18:00Z</dcterms:created>
  <dcterms:modified xsi:type="dcterms:W3CDTF">2026-05-28T23:53:00Z</dcterms:modified>
</cp:coreProperties>
</file>