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00"/>
        <w:gridCol w:w="4706"/>
      </w:tblGrid>
      <w:tr w:rsidR="00C45A73" w14:paraId="793ADBE8" w14:textId="77777777">
        <w:tblPrEx>
          <w:tblCellMar>
            <w:top w:w="0" w:type="dxa"/>
            <w:bottom w:w="0" w:type="dxa"/>
          </w:tblCellMar>
        </w:tblPrEx>
        <w:tc>
          <w:tcPr>
            <w:tcW w:w="5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70AC8255" w14:textId="77777777" w:rsidR="00D6464C" w:rsidRDefault="00D6464C" w:rsidP="00D6464C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5AA608D" wp14:editId="4446B705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E0E48C" w14:textId="77777777" w:rsidR="00D6464C" w:rsidRPr="00F3345A" w:rsidRDefault="00D6464C" w:rsidP="00D6464C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AA60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0AE0E48C" w14:textId="77777777" w:rsidR="00D6464C" w:rsidRPr="00F3345A" w:rsidRDefault="00D6464C" w:rsidP="00D6464C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12BCFB6E" w14:textId="2510EEEA" w:rsidR="00C45A73" w:rsidRDefault="00D6464C" w:rsidP="00D6464C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770673B7" w14:textId="77777777" w:rsidR="00C45A73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TECHNICAL SPECIFICATION SHEET</w:t>
            </w:r>
          </w:p>
          <w:p w14:paraId="4D921BA1" w14:textId="0DD59F7D" w:rsidR="00C45A73" w:rsidRDefault="00D6464C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5"/>
                <w:szCs w:val="15"/>
              </w:rPr>
              <w:t>VOGO eBS for eAdministration</w:t>
            </w:r>
          </w:p>
        </w:tc>
      </w:tr>
    </w:tbl>
    <w:p w14:paraId="62134D1D" w14:textId="77777777" w:rsidR="00C45A73" w:rsidRDefault="00C45A73">
      <w:pPr>
        <w:spacing w:after="100"/>
      </w:pPr>
    </w:p>
    <w:p w14:paraId="198238DD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Overview</w:t>
      </w:r>
    </w:p>
    <w:p w14:paraId="33CC3C45" w14:textId="6AB15ED6" w:rsidR="00C45A73" w:rsidRDefault="001C47A7">
      <w:pPr>
        <w:spacing w:after="80"/>
      </w:pPr>
      <w:r>
        <w:rPr>
          <w:rFonts w:ascii="Arial" w:eastAsia="Arial" w:hAnsi="Arial" w:cs="Arial"/>
          <w:color w:val="444444"/>
        </w:rPr>
        <w:t>VOGO ® eBS for eAdministration is the integrated</w:t>
      </w:r>
      <w:r>
        <w:rPr>
          <w:rFonts w:ascii="Arial" w:eastAsia="Arial" w:hAnsi="Arial" w:cs="Arial"/>
          <w:color w:val="444444"/>
          <w:lang w:val="ro-RO"/>
        </w:rPr>
        <w:t>ă</w:t>
      </w:r>
      <w:r>
        <w:rPr>
          <w:rFonts w:ascii="Arial" w:eastAsia="Arial" w:hAnsi="Arial" w:cs="Arial"/>
          <w:color w:val="444444"/>
        </w:rPr>
        <w:t>, AI-powered eAdministration suite that digitalizes the relationship between public institutions, citizens, businesses, and authorized professionals. The platform provides a modern Public Services Portal — a single gateway to digital services — complemented by an intelligent form engine (Forms), configurable services (Services), conversational AI assistance, and native mobile applications, all integrated into a secure, scalable ecosystem compliant with European standards.</w:t>
      </w:r>
    </w:p>
    <w:p w14:paraId="3D30EF92" w14:textId="77777777" w:rsidR="00C45A73" w:rsidRDefault="00C45A73">
      <w:pPr>
        <w:spacing w:after="100"/>
      </w:pPr>
    </w:p>
    <w:p w14:paraId="196378F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44F02000" wp14:editId="605ADAAE">
            <wp:extent cx="4953000" cy="2390775"/>
            <wp:effectExtent l="19050" t="19050" r="19050" b="28575"/>
            <wp:docPr id="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3907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824C67F" w14:textId="3665EAC9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1 — Example national digital services portal: homepage with service catalog, ROeID authentication, and live AI assistant</w:t>
      </w:r>
    </w:p>
    <w:p w14:paraId="55DFA80A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Public Services Portal</w:t>
      </w:r>
    </w:p>
    <w:p w14:paraId="003E606D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Unified Access &amp; Service Catalog</w:t>
      </w:r>
    </w:p>
    <w:p w14:paraId="7405F270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The portal serves as the single gateway for citizens, businesses, and authorized professionals to all digital public services of the institution.</w:t>
      </w:r>
    </w:p>
    <w:p w14:paraId="23329F6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a complete catalog of digital services, organized by category, with description, deadlines, costs, and required documents for each service</w:t>
      </w:r>
    </w:p>
    <w:p w14:paraId="681A569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access to any public service through a 4-step wizard flow: Description → Form → Preview → Submit</w:t>
      </w:r>
    </w:p>
    <w:p w14:paraId="5578915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Accessible from any internet-connected device — computer, tablet, mobile phone — with fully responsive design, automatically adapted to screen sizes</w:t>
      </w:r>
    </w:p>
    <w:p w14:paraId="0D6D3A3C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multi-language capabilities for users from different linguistic contexts</w:t>
      </w:r>
    </w:p>
    <w:p w14:paraId="21096CA0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1CCCFA96" wp14:editId="3774C1A5">
            <wp:extent cx="4421065" cy="2125512"/>
            <wp:effectExtent l="19050" t="19050" r="17780" b="27305"/>
            <wp:docPr id="1853075835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775" cy="2132104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199094D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2 — Complete service catalog: AUT-01, F1, F2 with deadlines, costs, and publication status</w:t>
      </w:r>
    </w:p>
    <w:p w14:paraId="670673E9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lastRenderedPageBreak/>
        <w:t xml:space="preserve">  Authentication &amp; Digital Identity</w:t>
      </w:r>
    </w:p>
    <w:p w14:paraId="7D99A08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Integrates with ROeID for digital identification of natural persons, with automatic pre-population of ROeID profile data into forms</w:t>
      </w:r>
    </w:p>
    <w:p w14:paraId="09B0ACD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Integrates with eIDAS for recognition of electronic identity at European level</w:t>
      </w:r>
    </w:p>
    <w:p w14:paraId="59E3A4B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Integrates with ONRC for automatic retrieval of company data (name, tax ID, legal representative) via SPV selection</w:t>
      </w:r>
    </w:p>
    <w:p w14:paraId="0D33274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Implements differentiated accounts by profile: citizen, veterinary doctor, commercial company — with functionalities and information specific to each profile</w:t>
      </w:r>
    </w:p>
    <w:p w14:paraId="7E7668A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authentication via username and password or anonymous access, with possibility to upgrade to a verified ROeID account</w:t>
      </w:r>
    </w:p>
    <w:p w14:paraId="1F994EF8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Complete Digital Flow — from Request to Confirmation</w:t>
      </w:r>
    </w:p>
    <w:p w14:paraId="57774F7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Guides the user through an intuitive multi-step wizard with visual progress indicator</w:t>
      </w:r>
    </w:p>
    <w:p w14:paraId="172F899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Automatically pre-populates form fields with data from ROeID and ONRC, eliminating redundant manual entry</w:t>
      </w:r>
    </w:p>
    <w:p w14:paraId="15BEB3D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attaching required documents directly from the browser, with file type and size validation</w:t>
      </w:r>
    </w:p>
    <w:p w14:paraId="5005D8E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Includes an integrated GIS map field for geographic location of requests (coordinates auto-filled on map click)</w:t>
      </w:r>
    </w:p>
    <w:p w14:paraId="0B5E1C2A" w14:textId="77777777" w:rsidR="00C45A73" w:rsidRDefault="00C45A73">
      <w:pPr>
        <w:spacing w:after="100"/>
      </w:pPr>
    </w:p>
    <w:p w14:paraId="346B245E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7A53935" wp14:editId="34C7FB71">
            <wp:extent cx="4953000" cy="2400300"/>
            <wp:effectExtent l="19050" t="19050" r="19050" b="19050"/>
            <wp:docPr id="1254482943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4003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D5EEAF7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3 — Step 1/4: AUT-01 service description with wizard flow, deadlines, and required attachments</w:t>
      </w:r>
    </w:p>
    <w:p w14:paraId="0D68BDC8" w14:textId="77777777" w:rsidR="00C45A73" w:rsidRDefault="00C45A73">
      <w:pPr>
        <w:spacing w:after="100"/>
      </w:pPr>
    </w:p>
    <w:p w14:paraId="0645500A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26F15409" wp14:editId="5D2FBC4D">
            <wp:extent cx="3552093" cy="2568436"/>
            <wp:effectExtent l="19050" t="19050" r="10795" b="22860"/>
            <wp:docPr id="1241125467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64" cy="2576297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C1C53D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4 — Step 2/4: Form completion with GIS map, CUI/CIF auto-filled from ONRC and ROeID data</w:t>
      </w:r>
    </w:p>
    <w:p w14:paraId="55C85E01" w14:textId="77777777" w:rsidR="00C45A73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Digital Handwritten Signature &amp; Finalization</w:t>
      </w:r>
    </w:p>
    <w:p w14:paraId="02CB277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Includes a digital handwritten signature module directly in the browser, with mouse or finger on touch screen</w:t>
      </w:r>
    </w:p>
    <w:p w14:paraId="46B6485D" w14:textId="77777777" w:rsidR="00C45A73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Allows full preview of the completed and signed form before submission</w:t>
      </w:r>
    </w:p>
    <w:p w14:paraId="5A02F7D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Automatically generates the PDF of the signed request, available for download or email delivery</w:t>
      </w:r>
    </w:p>
    <w:p w14:paraId="3EEB0511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Confirms submission with a registration number and allows tracking of the request status</w:t>
      </w:r>
    </w:p>
    <w:p w14:paraId="592E30B8" w14:textId="77777777" w:rsidR="00C45A73" w:rsidRDefault="00C45A73">
      <w:pPr>
        <w:spacing w:after="100"/>
      </w:pPr>
    </w:p>
    <w:p w14:paraId="5C0FF0F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DD9AC6" wp14:editId="7B9ADFFE">
            <wp:extent cx="3284301" cy="1616886"/>
            <wp:effectExtent l="19050" t="19050" r="11430" b="21590"/>
            <wp:docPr id="176957664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773" cy="162401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A9CF43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5 — Digital handwritten signature: captured directly in browser with mouse or touch screen</w:t>
      </w:r>
    </w:p>
    <w:p w14:paraId="1CEB29F8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0E4036E" wp14:editId="11686160">
            <wp:extent cx="2920672" cy="2184888"/>
            <wp:effectExtent l="19050" t="19050" r="13335" b="25400"/>
            <wp:docPr id="1649915748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699" cy="2196878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4B5DF92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6 — Step 4/4: Submission finalized — PDF download and email delivery</w:t>
      </w:r>
    </w:p>
    <w:p w14:paraId="504E9AA9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WCAG Accessibility &amp; Live AI Assistant</w:t>
      </w:r>
    </w:p>
    <w:p w14:paraId="72902F3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The platform complies with the WCAG standard for web accessibility and includes a conversational AI assistant permanently available to users.</w:t>
      </w:r>
    </w:p>
    <w:p w14:paraId="206F56ED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Complies with the Charter of Fundamental Rights of the European Union and Art. 9 of the UN Convention on the Rights of Persons with Disabilities</w:t>
      </w:r>
    </w:p>
    <w:p w14:paraId="6A6679C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a comprehensive accessibility options panel: text zoom in/out, high contrast, dark mode, greyscale, readable font, underline links, large cursor, stop animations</w:t>
      </w:r>
    </w:p>
    <w:p w14:paraId="785A52D4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Supports screen reading, keyboard-only navigation, and adjustable contrast</w:t>
      </w:r>
    </w:p>
    <w:p w14:paraId="3C288E2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Includes the Live AI Assistant available in the page corner, active 24/7, ready to guide the user in completing any service</w:t>
      </w:r>
    </w:p>
    <w:p w14:paraId="7AE2EAE6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The AI Assistant operates in Human-in-the-Loop (HITL) mode: it can transfer the conversation to a human operator when the situation requires it</w:t>
      </w:r>
    </w:p>
    <w:p w14:paraId="1E1DCEC0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DE10008" wp14:editId="53C112A8">
            <wp:extent cx="3739662" cy="1797914"/>
            <wp:effectExtent l="19050" t="19050" r="13335" b="12065"/>
            <wp:docPr id="230471630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360" cy="1800653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8914C86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7 — WCAG accessibility panel and active Live AI Assistant (HITL)</w:t>
      </w:r>
    </w:p>
    <w:p w14:paraId="7931BA65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4. Administration &amp; Backend — VOGO eBS Services</w:t>
      </w:r>
    </w:p>
    <w:p w14:paraId="03C8AF81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The platform provides administrators with a comprehensive backend for creating, configuring, and publishing digital services.</w:t>
      </w:r>
    </w:p>
    <w:p w14:paraId="45019040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creating services from predefined templates or from scratch, without writing code</w:t>
      </w:r>
    </w:p>
    <w:p w14:paraId="6807BD6A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Configures deadlines, costs, required documents, form templates, and approval flows per service</w:t>
      </w:r>
    </w:p>
    <w:p w14:paraId="0BFA875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Manages the status of each service: Draft → Published, with granular visibility control</w:t>
      </w:r>
    </w:p>
    <w:p w14:paraId="2527DE4B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platform performance monitoring tools, traffic and usage reports</w:t>
      </w:r>
    </w:p>
    <w:p w14:paraId="05879F1E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management of user accounts, permissions, and access profiles</w:t>
      </w:r>
    </w:p>
    <w:p w14:paraId="3EEFFA6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Includes a Content Management System (CMS) for rapid updating of public information without technical intervention</w:t>
      </w:r>
    </w:p>
    <w:p w14:paraId="1765CCE3" w14:textId="77777777" w:rsidR="00C45A73" w:rsidRDefault="00C45A73">
      <w:pPr>
        <w:spacing w:after="100"/>
      </w:pPr>
    </w:p>
    <w:p w14:paraId="3771CBED" w14:textId="77777777" w:rsidR="00C45A73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01A492E6" wp14:editId="7EDEE729">
            <wp:extent cx="4953000" cy="2247900"/>
            <wp:effectExtent l="19050" t="19050" r="19050" b="19050"/>
            <wp:docPr id="1940983371" name="portal-screenshot" descr="Screenshot VOGO eBS Gov Portal" title="Screenshot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2479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3A90410" w14:textId="77777777" w:rsidR="00C45A73" w:rsidRDefault="00000000">
      <w:pPr>
        <w:spacing w:before="60" w:after="18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8 — VOGO eBS Services backend: service management, templates, status, and configuration</w:t>
      </w:r>
    </w:p>
    <w:p w14:paraId="260D9FCC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Mobile Application — VOGO MAF (Mobile Application Framework)</w:t>
      </w:r>
    </w:p>
    <w:p w14:paraId="73B8219C" w14:textId="77777777" w:rsidR="00C45A73" w:rsidRDefault="00000000">
      <w:pPr>
        <w:spacing w:after="80"/>
      </w:pPr>
      <w:r>
        <w:rPr>
          <w:rFonts w:ascii="Arial" w:eastAsia="Arial" w:hAnsi="Arial" w:cs="Arial"/>
          <w:color w:val="444444"/>
        </w:rPr>
        <w:t>VOGO eBS Gov Series™ includes native iOS and Android mobile applications for citizens, connected to the same portal ecosystem.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3506"/>
      </w:tblGrid>
      <w:tr w:rsidR="00C45A73" w14:paraId="5E2A71AF" w14:textId="77777777">
        <w:tblPrEx>
          <w:tblCellMar>
            <w:top w:w="0" w:type="dxa"/>
            <w:bottom w:w="0" w:type="dxa"/>
          </w:tblCellMar>
        </w:tblPrEx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80" w:type="dxa"/>
              <w:right w:w="200" w:type="dxa"/>
            </w:tcMar>
          </w:tcPr>
          <w:p w14:paraId="79EE48F7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Allows access to all relevant public services from the portal directly from the mobile device</w:t>
            </w:r>
          </w:p>
          <w:p w14:paraId="45723021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Fully responsive design, automatically adapted to the screen sizes of phones and tablets</w:t>
            </w:r>
          </w:p>
          <w:p w14:paraId="48AD3A5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Allows offline work: data entry and events saved locally on the device, with automatic synchronization upon reconnection</w:t>
            </w:r>
          </w:p>
          <w:p w14:paraId="38A38846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Sends push notifications to the citizen on any change or progress of their requests</w:t>
            </w:r>
          </w:p>
          <w:p w14:paraId="74AFC483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Ensures communication exclusively over secure channels (SSL/TLS) between terminal and servers</w:t>
            </w:r>
          </w:p>
          <w:p w14:paraId="1612C2B0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Allows farmer authentication via 3 data points: farm code, last digits of personal ID, animal tag from registry</w:t>
            </w:r>
          </w:p>
          <w:p w14:paraId="68C39F65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Allows consultation of the up-to-date farm registry, including in offline mode</w:t>
            </w:r>
          </w:p>
          <w:p w14:paraId="33C6CE24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Supports digital handwritten signature directly on the touch screen of the mobile device</w:t>
            </w:r>
          </w:p>
          <w:p w14:paraId="6CDF1CDB" w14:textId="77777777" w:rsidR="00C45A73" w:rsidRDefault="00000000">
            <w:pPr>
              <w:spacing w:after="60"/>
            </w:pPr>
            <w:r>
              <w:rPr>
                <w:b/>
                <w:bCs/>
                <w:color w:val="0070C0"/>
              </w:rPr>
              <w:t xml:space="preserve">▸  </w:t>
            </w:r>
            <w:r>
              <w:rPr>
                <w:rFonts w:ascii="Arial" w:eastAsia="Arial" w:hAnsi="Arial" w:cs="Arial"/>
                <w:color w:val="444444"/>
              </w:rPr>
              <w:t>Generates and sends signed PDFs directly to email from the application</w:t>
            </w:r>
          </w:p>
        </w:tc>
        <w:tc>
          <w:tcPr>
            <w:tcW w:w="3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62FF56" w14:textId="77777777" w:rsidR="00C45A73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8D85D7" wp14:editId="2073898D">
                  <wp:extent cx="1387720" cy="2497896"/>
                  <wp:effectExtent l="19050" t="19050" r="22225" b="17145"/>
                  <wp:docPr id="109449589" name="mobile" descr="Aplicatie mobila VOGO Gov" title="Mobi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106" cy="25219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EA50CB" w14:textId="77777777" w:rsidR="00C45A73" w:rsidRDefault="00000000">
            <w:pPr>
              <w:spacing w:before="60"/>
              <w:jc w:val="center"/>
            </w:pPr>
            <w:r>
              <w:rPr>
                <w:rFonts w:ascii="Arial" w:eastAsia="Arial" w:hAnsi="Arial" w:cs="Arial"/>
                <w:i/>
                <w:iCs/>
                <w:color w:val="0070C0"/>
                <w:sz w:val="16"/>
                <w:szCs w:val="16"/>
              </w:rPr>
              <w:t>Responsive design — mobile view</w:t>
            </w:r>
          </w:p>
        </w:tc>
      </w:tr>
    </w:tbl>
    <w:p w14:paraId="1D581CAB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Security &amp; GDPR Compliance</w:t>
      </w:r>
    </w:p>
    <w:p w14:paraId="58509AA5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Implements robust authentication and authorization with differentiated profiles: citizen, authorized professional, commercial company</w:t>
      </w:r>
    </w:p>
    <w:p w14:paraId="27499392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Encrypts all communications between user and servers via SSL/TLS</w:t>
      </w:r>
    </w:p>
    <w:p w14:paraId="4CAF0388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Stores personal and commercial data securely, with periodic audits and advanced monitoring mechanisms</w:t>
      </w:r>
    </w:p>
    <w:p w14:paraId="71275AC9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Fully complies with GDPR requirements for the protection of personal data</w:t>
      </w:r>
    </w:p>
    <w:p w14:paraId="0DD2BDD2" w14:textId="77777777" w:rsidR="00C45A73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Ensures a complete audit log of all actions on the platform</w:t>
      </w:r>
    </w:p>
    <w:p w14:paraId="68C8CADF" w14:textId="77777777" w:rsidR="00C45A73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Integrates ROeID and eIDAS for verified digital identification at national and European level</w:t>
      </w:r>
    </w:p>
    <w:p w14:paraId="7A1BC5F1" w14:textId="77777777" w:rsidR="00C45A73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Supported Integrations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45A73" w14:paraId="6978B1E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85B533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ROeID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8528BD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Digital identification of natural persons, pre-population of form data, masked personal ID</w:t>
            </w:r>
          </w:p>
        </w:tc>
      </w:tr>
      <w:tr w:rsidR="00C45A73" w14:paraId="049DCB0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4CC8B2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eIDAS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C4B33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Recognition of electronic identity at European level</w:t>
            </w:r>
          </w:p>
        </w:tc>
      </w:tr>
      <w:tr w:rsidR="00C45A73" w14:paraId="7DEE635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1B949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ONRC / SPV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DE9C7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Automatic retrieval of company data: name, tax ID, legal representative</w:t>
            </w:r>
          </w:p>
        </w:tc>
      </w:tr>
      <w:tr w:rsidR="00C45A73" w14:paraId="703D363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65D7BF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GIS Module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129DD2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Interactive map field in forms, address geocoding, request location</w:t>
            </w:r>
          </w:p>
        </w:tc>
      </w:tr>
      <w:tr w:rsidR="00C45A73" w14:paraId="44D1373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54B26A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AC4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Persistent electronic file per applicant, visible in all platform modules</w:t>
            </w:r>
          </w:p>
        </w:tc>
      </w:tr>
      <w:tr w:rsidR="00C45A73" w14:paraId="22F7D9E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0847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AI Chatbot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76FC6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Live 24/7 assistant, HITL, form completion guidance, multi-channel support</w:t>
            </w:r>
          </w:p>
        </w:tc>
      </w:tr>
      <w:tr w:rsidR="00C45A73" w14:paraId="3E36127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6EED4D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Email / SMS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9264E9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Automatic request status notifications, signed PDF delivery, confirmations</w:t>
            </w:r>
          </w:p>
        </w:tc>
      </w:tr>
      <w:tr w:rsidR="00C45A73" w14:paraId="46B785C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702911" w14:textId="77777777" w:rsidR="00C45A73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Payment System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E43AFB" w14:textId="77777777" w:rsidR="00C45A73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Payment of fees and tariffs associated with services directly from the portal</w:t>
            </w:r>
          </w:p>
        </w:tc>
      </w:tr>
    </w:tbl>
    <w:p w14:paraId="0994E26B" w14:textId="77777777" w:rsidR="00C45A73" w:rsidRDefault="00C45A73">
      <w:pPr>
        <w:spacing w:after="100"/>
      </w:pPr>
    </w:p>
    <w:p w14:paraId="4793D956" w14:textId="77777777" w:rsidR="008A0357" w:rsidRDefault="008A0357">
      <w:pPr>
        <w:spacing w:after="100"/>
      </w:pPr>
    </w:p>
    <w:p w14:paraId="527636F1" w14:textId="77777777" w:rsidR="00AE23CA" w:rsidRPr="005D122B" w:rsidRDefault="00AE23CA" w:rsidP="00AE23CA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Industries &amp; Common Applications</w:t>
      </w:r>
    </w:p>
    <w:p w14:paraId="064C269B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1C269C36" w14:textId="0E058F03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The eAdministration module is most frequently requested in organizations that manage an intensive relationship with citizens and the business environment — where there is a large volume of repetitive interactions, standardizable forms, and digitalization pressure from European directives:</w:t>
      </w:r>
    </w:p>
    <w:p w14:paraId="527FA5B2" w14:textId="77777777" w:rsidR="008A0357" w:rsidRPr="005D122B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6B9CE6AF" w14:textId="03E03D47" w:rsidR="00AE23CA" w:rsidRDefault="00AE23CA" w:rsidP="00B3160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Local &amp; Central Public Administration</w:t>
      </w:r>
      <w:r>
        <w:rPr>
          <w:rFonts w:ascii="Arial" w:eastAsia="Arial" w:hAnsi="Arial" w:cs="Arial"/>
          <w:color w:val="444444"/>
        </w:rPr>
        <w:t>; Municipalities, county councils, prefectures — issuance of building permits, urban planning certificates, event registration, public information requests, online payment of local taxes and fees, etc.</w:t>
      </w:r>
    </w:p>
    <w:p w14:paraId="171A5426" w14:textId="343A3AD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Public &amp; Veterinary Health</w:t>
      </w:r>
      <w:r>
        <w:rPr>
          <w:rFonts w:ascii="Arial" w:eastAsia="Arial" w:hAnsi="Arial" w:cs="Arial"/>
          <w:color w:val="444444"/>
        </w:rPr>
        <w:t>; authorization of units, hospitals, doctors, appointments, reporting, official inspections and controls, document issuance, traceability, elements related to public health.</w:t>
      </w:r>
    </w:p>
    <w:p w14:paraId="11FF05D0" w14:textId="6128809C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Agriculture &amp; Environment</w:t>
      </w:r>
      <w:r>
        <w:rPr>
          <w:rFonts w:ascii="Arial" w:eastAsia="Arial" w:hAnsi="Arial" w:cs="Arial"/>
          <w:color w:val="444444"/>
        </w:rPr>
        <w:t>; subsidy applications, agricultural land declarations, environmental reports, environmental permits, farm monitoring, management of the farmer registry.</w:t>
      </w:r>
    </w:p>
    <w:p w14:paraId="0F12EED6" w14:textId="64584943" w:rsidR="00AE23CA" w:rsidRDefault="00AE23CA" w:rsidP="00925ED8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Education</w:t>
      </w:r>
      <w:r>
        <w:rPr>
          <w:rFonts w:ascii="Arial" w:eastAsia="Arial" w:hAnsi="Arial" w:cs="Arial"/>
          <w:color w:val="444444"/>
        </w:rPr>
        <w:t>; School inspectorates, universities — online enrollment, scholarship applications, diploma recognition, statistical reports, communication with parents and students, management of academic documents.</w:t>
      </w:r>
    </w:p>
    <w:p w14:paraId="2FB429CC" w14:textId="0A3A59E2" w:rsidR="00AE23CA" w:rsidRDefault="00AE23CA" w:rsidP="004B2B89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Human Health</w:t>
      </w:r>
      <w:r>
        <w:rPr>
          <w:rFonts w:ascii="Arial" w:eastAsia="Arial" w:hAnsi="Arial" w:cs="Arial"/>
          <w:color w:val="444444"/>
        </w:rPr>
        <w:t>; County health insurance funds, public hospitals — online appointments, reimbursement requests, registration of healthcare providers, contractual reporting with the Health Insurance Fund.</w:t>
      </w:r>
    </w:p>
    <w:p w14:paraId="2A6DC88E" w14:textId="182A60D8" w:rsidR="00AE23CA" w:rsidRDefault="00AE23CA" w:rsidP="00883A75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Public Utilities &amp; Infrastructure</w:t>
      </w:r>
      <w:r>
        <w:rPr>
          <w:rFonts w:ascii="Arial" w:eastAsia="Arial" w:hAnsi="Arial" w:cs="Arial"/>
          <w:color w:val="444444"/>
        </w:rPr>
        <w:t>; Water, heating, and sanitation operators — connection requests, fault reports, online meter readings, bill payments, service interruption notifications, public citizen portal.</w:t>
      </w:r>
    </w:p>
    <w:p w14:paraId="5B7BB9D9" w14:textId="7323024D" w:rsidR="00AE23CA" w:rsidRDefault="00AE23CA" w:rsidP="00C42C4C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Public Order &amp; Safety</w:t>
      </w:r>
      <w:r>
        <w:rPr>
          <w:rFonts w:ascii="Arial" w:eastAsia="Arial" w:hAnsi="Arial" w:cs="Arial"/>
          <w:color w:val="444444"/>
        </w:rPr>
        <w:t>; Local police, emergency services, civil protection — event permit applications, incident reporting, authorization requests for high-risk activities, management of intervention files.</w:t>
      </w:r>
    </w:p>
    <w:p w14:paraId="63A0CE81" w14:textId="5DA00CE8" w:rsidR="00AE23CA" w:rsidRDefault="00AE23CA" w:rsidP="008D3AE6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National Registers &amp; Professional Licensing</w:t>
      </w:r>
      <w:r>
        <w:rPr>
          <w:rFonts w:ascii="Arial" w:eastAsia="Arial" w:hAnsi="Arial" w:cs="Arial"/>
          <w:color w:val="444444"/>
        </w:rPr>
        <w:t>; Professional orders (doctors, lawyers, architects, pharmacists) — member registration, authorization renewal, CPD reporting, member communication, publication of public registers.</w:t>
      </w:r>
    </w:p>
    <w:p w14:paraId="618F3D4D" w14:textId="792515D1" w:rsidR="00AE23CA" w:rsidRDefault="00AE23CA" w:rsidP="008A0357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 &amp; Public Logistics</w:t>
      </w:r>
      <w:r>
        <w:rPr>
          <w:rFonts w:ascii="Arial" w:eastAsia="Arial" w:hAnsi="Arial" w:cs="Arial"/>
          <w:color w:val="444444"/>
        </w:rPr>
        <w:t>; road authorities, port/airport authorities, public bodies — transport authorizations, technical inspections, operator licenses, incident reporting, vehicle conformity certificates.</w:t>
      </w:r>
    </w:p>
    <w:p w14:paraId="26EAE027" w14:textId="03C1874C" w:rsidR="00AE23CA" w:rsidRDefault="00AE23CA" w:rsidP="00AE23CA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Ask for more if your industry is not listed above</w:t>
      </w:r>
    </w:p>
    <w:p w14:paraId="76B0E747" w14:textId="77777777" w:rsidR="008A0357" w:rsidRDefault="008A0357" w:rsidP="00AE23CA">
      <w:pPr>
        <w:spacing w:after="80"/>
        <w:rPr>
          <w:rFonts w:ascii="Arial" w:eastAsia="Arial" w:hAnsi="Arial" w:cs="Arial"/>
          <w:color w:val="444444"/>
        </w:rPr>
      </w:pPr>
    </w:p>
    <w:p w14:paraId="37D3C696" w14:textId="77777777" w:rsidR="00AE23CA" w:rsidRDefault="00AE23CA">
      <w:pPr>
        <w:spacing w:after="100"/>
      </w:pPr>
    </w:p>
    <w:sectPr w:rsidR="00AE23CA">
      <w:footerReference w:type="default" r:id="rId16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8D5DB" w14:textId="77777777" w:rsidR="00145786" w:rsidRDefault="00145786" w:rsidP="008D04D0">
      <w:r>
        <w:separator/>
      </w:r>
    </w:p>
  </w:endnote>
  <w:endnote w:type="continuationSeparator" w:id="0">
    <w:p w14:paraId="7C4E102F" w14:textId="77777777" w:rsidR="00145786" w:rsidRDefault="00145786" w:rsidP="008D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E782C" w14:textId="5F51DACF" w:rsidR="008D04D0" w:rsidRDefault="008D04D0" w:rsidP="008D04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DA616" w14:textId="77777777" w:rsidR="00145786" w:rsidRDefault="00145786" w:rsidP="008D04D0">
      <w:r>
        <w:separator/>
      </w:r>
    </w:p>
  </w:footnote>
  <w:footnote w:type="continuationSeparator" w:id="0">
    <w:p w14:paraId="1CF1A766" w14:textId="77777777" w:rsidR="00145786" w:rsidRDefault="00145786" w:rsidP="008D0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458F"/>
    <w:multiLevelType w:val="hybridMultilevel"/>
    <w:tmpl w:val="7170301C"/>
    <w:lvl w:ilvl="0" w:tplc="03E6CCA6">
      <w:start w:val="1"/>
      <w:numFmt w:val="bullet"/>
      <w:lvlText w:val="●"/>
      <w:lvlJc w:val="left"/>
      <w:pPr>
        <w:ind w:left="720" w:hanging="360"/>
      </w:pPr>
    </w:lvl>
    <w:lvl w:ilvl="1" w:tplc="9064DCFA">
      <w:start w:val="1"/>
      <w:numFmt w:val="bullet"/>
      <w:lvlText w:val="○"/>
      <w:lvlJc w:val="left"/>
      <w:pPr>
        <w:ind w:left="1440" w:hanging="360"/>
      </w:pPr>
    </w:lvl>
    <w:lvl w:ilvl="2" w:tplc="078E35D2">
      <w:start w:val="1"/>
      <w:numFmt w:val="bullet"/>
      <w:lvlText w:val="■"/>
      <w:lvlJc w:val="left"/>
      <w:pPr>
        <w:ind w:left="2160" w:hanging="360"/>
      </w:pPr>
    </w:lvl>
    <w:lvl w:ilvl="3" w:tplc="47D4168C">
      <w:start w:val="1"/>
      <w:numFmt w:val="bullet"/>
      <w:lvlText w:val="●"/>
      <w:lvlJc w:val="left"/>
      <w:pPr>
        <w:ind w:left="2880" w:hanging="360"/>
      </w:pPr>
    </w:lvl>
    <w:lvl w:ilvl="4" w:tplc="61B6E732">
      <w:start w:val="1"/>
      <w:numFmt w:val="bullet"/>
      <w:lvlText w:val="○"/>
      <w:lvlJc w:val="left"/>
      <w:pPr>
        <w:ind w:left="3600" w:hanging="360"/>
      </w:pPr>
    </w:lvl>
    <w:lvl w:ilvl="5" w:tplc="09BE2C86">
      <w:start w:val="1"/>
      <w:numFmt w:val="bullet"/>
      <w:lvlText w:val="■"/>
      <w:lvlJc w:val="left"/>
      <w:pPr>
        <w:ind w:left="4320" w:hanging="360"/>
      </w:pPr>
    </w:lvl>
    <w:lvl w:ilvl="6" w:tplc="63E6CAD4">
      <w:start w:val="1"/>
      <w:numFmt w:val="bullet"/>
      <w:lvlText w:val="●"/>
      <w:lvlJc w:val="left"/>
      <w:pPr>
        <w:ind w:left="5040" w:hanging="360"/>
      </w:pPr>
    </w:lvl>
    <w:lvl w:ilvl="7" w:tplc="B1160976">
      <w:start w:val="1"/>
      <w:numFmt w:val="bullet"/>
      <w:lvlText w:val="●"/>
      <w:lvlJc w:val="left"/>
      <w:pPr>
        <w:ind w:left="5760" w:hanging="360"/>
      </w:pPr>
    </w:lvl>
    <w:lvl w:ilvl="8" w:tplc="3790E3CA">
      <w:start w:val="1"/>
      <w:numFmt w:val="bullet"/>
      <w:lvlText w:val="●"/>
      <w:lvlJc w:val="left"/>
      <w:pPr>
        <w:ind w:left="6480" w:hanging="360"/>
      </w:pPr>
    </w:lvl>
  </w:abstractNum>
  <w:num w:numId="1" w16cid:durableId="1753875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73"/>
    <w:rsid w:val="00113D62"/>
    <w:rsid w:val="00145786"/>
    <w:rsid w:val="00175D6B"/>
    <w:rsid w:val="001C47A7"/>
    <w:rsid w:val="0023472D"/>
    <w:rsid w:val="002418B7"/>
    <w:rsid w:val="003332F8"/>
    <w:rsid w:val="0037720F"/>
    <w:rsid w:val="004B2B89"/>
    <w:rsid w:val="005477E7"/>
    <w:rsid w:val="00674162"/>
    <w:rsid w:val="00883A75"/>
    <w:rsid w:val="008A0357"/>
    <w:rsid w:val="008D04D0"/>
    <w:rsid w:val="008D3AE6"/>
    <w:rsid w:val="00925ED8"/>
    <w:rsid w:val="009318C4"/>
    <w:rsid w:val="00A62B5B"/>
    <w:rsid w:val="00AE23CA"/>
    <w:rsid w:val="00B31606"/>
    <w:rsid w:val="00BF2DEB"/>
    <w:rsid w:val="00C42C4C"/>
    <w:rsid w:val="00C45A73"/>
    <w:rsid w:val="00C6018D"/>
    <w:rsid w:val="00C762CC"/>
    <w:rsid w:val="00D6464C"/>
    <w:rsid w:val="00F6143E"/>
    <w:rsid w:val="00FB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23EB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4D0"/>
  </w:style>
  <w:style w:type="paragraph" w:styleId="Footer">
    <w:name w:val="footer"/>
    <w:basedOn w:val="Normal"/>
    <w:link w:val="FooterChar"/>
    <w:uiPriority w:val="99"/>
    <w:unhideWhenUsed/>
    <w:rsid w:val="008D04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?>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1518</Words>
  <Characters>8655</Characters>
  <Application>Microsoft Office Word</Application>
  <DocSecurity>0</DocSecurity>
  <Lines>72</Lines>
  <Paragraphs>20</Paragraphs>
  <ScaleCrop>false</ScaleCrop>
  <Company/>
  <LinksUpToDate>false</LinksUpToDate>
  <CharactersWithSpaces>10153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30</cp:revision>
  <dcterms:created xsi:type="dcterms:W3CDTF">2026-05-28T21:18:00Z</dcterms:created>
  <dcterms:modified xsi:type="dcterms:W3CDTF">2026-05-28T21:42:00Z</dcterms:modified>
</cp:coreProperties>
</file>