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00"/>
        <w:gridCol w:w="4706"/>
      </w:tblGrid>
      <w:tr w:rsidR="00C45A73" w14:paraId="793ADBE8" w14:textId="77777777">
        <w:tc>
          <w:tcPr>
            <w:tcW w:w="5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70AC8255" w14:textId="77777777" w:rsidR="00D6464C" w:rsidRDefault="00D6464C" w:rsidP="00D6464C">
            <w:r>
              <w:rPr>
                <w:rFonts w:ascii="Aptos Display" w:hAnsi="Aptos Display"/>
                <w:b/>
                <w:noProof/>
                <w:spacing w:val="-34"/>
                <w:sz w:val="80"/>
                <w:szCs w:val="80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15AA608D" wp14:editId="4446B705">
                      <wp:simplePos x="0" y="0"/>
                      <wp:positionH relativeFrom="column">
                        <wp:posOffset>582168</wp:posOffset>
                      </wp:positionH>
                      <wp:positionV relativeFrom="paragraph">
                        <wp:posOffset>-77343</wp:posOffset>
                      </wp:positionV>
                      <wp:extent cx="252095" cy="25209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E0E48C" w14:textId="77777777" w:rsidR="00D6464C" w:rsidRPr="00F3345A" w:rsidRDefault="00D6464C" w:rsidP="00D6464C">
                                  <w:pP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>®</w:t>
                                  </w: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AA60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45.85pt;margin-top:-6.1pt;width:19.85pt;height:1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+pAP8gEAAMwDAAAOAAAAZHJzL2Uyb0RvYy54bWysU8GO0zAQvSPxD5bvNGnUwjaqu1p2WYS0 LEgLH+A4TmNhe4ztNilfz9jJdiu4IXKwZjL287w3z9vr0WhylD4osIwuFyUl0gpold0z+v3b/Zsr SkLktuUarGT0JAO93r1+tR1cLSvoQbfSEwSxoR4co32Mri6KIHppeFiAkxaLHXjDI6Z+X7SeD4hu dFGV5dtiAN86D0KGgH/vpiLdZfyukyJ+6bogI9GMYm8xrz6vTVqL3ZbXe89dr8TcBv+HLgxXFi89 Q93xyMnBq7+gjBIeAnRxIcAU0HVKyMwB2SzLP9g89dzJzAXFCe4sU/h/sOLx+OS+ehLH9zDiADOJ 4B5A/AjEwm3P7V7eeA9DL3mLFy+TZMXgQj0fTVKHOiSQZvgMLQ6ZHyJkoLHzJqmCPAmi4wBOZ9Hl GInAn9W6KjdrSgSW5jjdwOvnw86H+FGCISlg1ONMMzg/PoQ4bX3eku6ycK+0znPVlgyMbtbVOh+4 qBgV0XZaGUavyvRNRkgcP9g2H45c6SnGXrSdSSeeE+M4NiNuTOQbaE9I38NkL3wOGPTgf1EyoLUY DT8P3EtK9CeLEm6Wq1XyYk5W63cVJv6y0lxWuBUIxWikZApvY/bvxPUGpe5UluGlk7lXtEwWcrZ3 8uRlnne9PMLdbwAAAP//AwBQSwMEFAAGAAgAAAAhAM5SrxLeAAAACQEAAA8AAABkcnMvZG93bnJl di54bWxMj0FPwkAQhe8m/ofNmHiD3VYQqZ0So/GqAYXE29Id2sbubNNdaP33LCc8Tt6X977JV6Nt xYl63zhGSKYKBHHpTMMVwvfX++QJhA+ajW4dE8IfeVgVtze5zowbeE2nTahELGGfaYQ6hC6T0pc1 We2nriOO2cH1Vod49pU0vR5iuW1lqtSjtLrhuFDrjl5rKn83R4uw/Tj87Gbqs3qz825wo5JslxLx /m58eQYRaAxXGC76UR2K6LR3RzZetAjLZBFJhEmSpiAuwEMyA7FHSBdzkEUu/39QnAEAAP//AwBQ SwECLQAUAAYACAAAACEAtoM4kv4AAADhAQAAEwAAAAAAAAAAAAAAAAAAAAAAW0NvbnRlbnRfVHlw ZXNdLnhtbFBLAQItABQABgAIAAAAIQA4/SH/1gAAAJQBAAALAAAAAAAAAAAAAAAAAC8BAABfcmVs cy8ucmVsc1BLAQItABQABgAIAAAAIQBO+pAP8gEAAMwDAAAOAAAAAAAAAAAAAAAAAC4CAABkcnMv ZTJvRG9jLnhtbFBLAQItABQABgAIAAAAIQDOUq8S3gAAAAkBAAAPAAAAAAAAAAAAAAAAAEwEAABk cnMvZG93bnJldi54bWxQSwUGAAAAAAQABADzAAAAVwUAAAAA " filled="f" stroked="f">
                      <v:textbox>
                        <w:txbxContent>
                          <w:p w14:paraId="0AE0E48C" w14:textId="77777777" w:rsidR="00D6464C" w:rsidRPr="00F3345A" w:rsidRDefault="00D6464C" w:rsidP="00D6464C">
                            <w:pP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>®</w:t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 xml:space="preserve">VOGO </w:t>
            </w:r>
            <w:r>
              <w:rPr>
                <w:rFonts w:ascii="Arial" w:eastAsia="Arial" w:hAnsi="Arial" w:cs="Arial"/>
                <w:b/>
                <w:bCs/>
                <w:color w:val="7EC8F5"/>
                <w:sz w:val="36"/>
                <w:szCs w:val="36"/>
              </w:rPr>
              <w:t>eBS</w:t>
            </w:r>
          </w:p>
          <w:p w14:paraId="12BCFB6E" w14:textId="2510EEEA" w:rsidR="00C45A73" w:rsidRDefault="00D6464C" w:rsidP="00D6464C">
            <w:r>
              <w:rPr>
                <w:rFonts w:ascii="Arial" w:eastAsia="Arial" w:hAnsi="Arial" w:cs="Arial"/>
                <w:color w:val="BFD4FF"/>
                <w:sz w:val="18"/>
                <w:szCs w:val="18"/>
              </w:rPr>
              <w:t>Conjunto Empresarial Integrado</w:t>
            </w:r>
          </w:p>
        </w:tc>
        <w:tc>
          <w:tcPr>
            <w:tcW w:w="47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70C0"/>
            <w:tcMar>
              <w:top w:w="200" w:type="dxa"/>
              <w:left w:w="240" w:type="dxa"/>
              <w:bottom w:w="200" w:type="dxa"/>
              <w:right w:w="240" w:type="dxa"/>
            </w:tcMar>
            <w:vAlign w:val="center"/>
          </w:tcPr>
          <w:p w14:paraId="770673B7" w14:textId="77777777" w:rsidR="00C45A73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HOJA DE ESPECIFICACIONES TÉCNICAS</w:t>
            </w:r>
          </w:p>
          <w:p w14:paraId="4D921BA1" w14:textId="0DD59F7D" w:rsidR="00C45A73" w:rsidRDefault="00D6464C">
            <w:pPr>
              <w:jc w:val="right"/>
            </w:pPr>
            <w:r>
              <w:rPr>
                <w:rFonts w:ascii="Arial" w:eastAsia="Arial" w:hAnsi="Arial" w:cs="Arial"/>
                <w:color w:val="CCE5FF"/>
                <w:sz w:val="15"/>
                <w:szCs w:val="15"/>
              </w:rPr>
              <w:t>VOGO eBS para eAdministración</w:t>
            </w:r>
          </w:p>
        </w:tc>
      </w:tr>
    </w:tbl>
    <w:p w14:paraId="62134D1D" w14:textId="77777777" w:rsidR="00C45A73" w:rsidRDefault="00C45A73">
      <w:pPr>
        <w:spacing w:after="100"/>
      </w:pPr>
    </w:p>
    <w:p w14:paraId="198238DD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1. Descripción General</w:t>
      </w:r>
    </w:p>
    <w:p w14:paraId="33CC3C45" w14:textId="6AB15ED6" w:rsidR="00C45A73" w:rsidRDefault="001C47A7">
      <w:pPr>
        <w:spacing w:after="80"/>
      </w:pPr>
      <w:r>
        <w:rPr>
          <w:rFonts w:ascii="Arial" w:eastAsia="Arial" w:hAnsi="Arial" w:cs="Arial"/>
          <w:color w:val="444444"/>
        </w:rPr>
        <w:t>VOGO ® eBS para eAdministración es la suite integrada</w:t>
      </w:r>
      <w:r>
        <w:rPr>
          <w:rFonts w:ascii="Arial" w:eastAsia="Arial" w:hAnsi="Arial" w:cs="Arial"/>
          <w:color w:val="444444"/>
          <w:lang w:val="ro-RO"/>
        </w:rPr>
        <w:t>ă</w:t>
      </w:r>
      <w:r>
        <w:rPr>
          <w:rFonts w:ascii="Arial" w:eastAsia="Arial" w:hAnsi="Arial" w:cs="Arial"/>
          <w:color w:val="444444"/>
        </w:rPr>
        <w:t>, impulsada por IA, que digitaliza la relación entre instituciones públicas, ciudadanos, empresas y profesionales autorizados. La plataforma ofrece un moderno Portal de Servicios Públicos — una puerta de entrada única a los servicios digitales — complementado por un motor inteligente de formularios (Forms), servicios configurables (Services), asistencia de IA conversacional y aplicaciones móviles nativas, todo integrado en un ecosistema seguro y escalable, conforme con los estándares europeos.</w:t>
      </w:r>
    </w:p>
    <w:p w14:paraId="3D30EF92" w14:textId="77777777" w:rsidR="00C45A73" w:rsidRDefault="00C45A73">
      <w:pPr>
        <w:spacing w:after="100"/>
      </w:pPr>
    </w:p>
    <w:p w14:paraId="196378FA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44F02000" wp14:editId="605ADAAE">
            <wp:extent cx="4953000" cy="2390775"/>
            <wp:effectExtent l="19050" t="19050" r="19050" b="28575"/>
            <wp:docPr id="1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39077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824C67F" w14:textId="3665EAC9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1 — Ejemplo de portal nacional de servicios digitales: página principal con catálogo de servicios, autenticación ROeID y asistente de IA en vivo</w:t>
      </w:r>
    </w:p>
    <w:p w14:paraId="55DFA80A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2. Portal de Servicios Públicos</w:t>
      </w:r>
    </w:p>
    <w:p w14:paraId="003E606D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Acceso Unificado &amp; Catálogo de Servicios</w:t>
      </w:r>
    </w:p>
    <w:p w14:paraId="7405F270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El portal actúa como puerta de entrada única para ciudadanos, empresas y profesionales autorizados a todos los servicios públicos digitales de la institución.</w:t>
      </w:r>
    </w:p>
    <w:p w14:paraId="23329F6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Ofrece un catálogo completo de servicios digitales, organizado por categoría, con descripción, plazos, costos y documentos requeridos para cada servicio</w:t>
      </w:r>
    </w:p>
    <w:p w14:paraId="681A5695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el acceso a cualquier servicio público a través de un flujo guiado de 4 pasos: Descripción → Formulario → Vista previa → Enviar</w:t>
      </w:r>
    </w:p>
    <w:p w14:paraId="5578915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Accesible desde cualquier dispositivo con conexión a internet — computadora, tableta, teléfono móvil — con diseño completamente responsivo, adaptado automáticamente a los tamaños de pantalla</w:t>
      </w:r>
    </w:p>
    <w:p w14:paraId="0D6D3A3C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Ofrece capacidades multilingüe para usuarios de distintos contextos lingüísticos</w:t>
      </w:r>
    </w:p>
    <w:p w14:paraId="21096CA0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1CCCFA96" wp14:editId="34D3BA47">
            <wp:extent cx="4081271" cy="1962150"/>
            <wp:effectExtent l="19050" t="19050" r="14605" b="19050"/>
            <wp:docPr id="1853075835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6452" cy="1969449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199094D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2 — Catálogo completo de servicios: AUT-01, F1, F2 con plazos, costos y estado de publicación</w:t>
      </w:r>
    </w:p>
    <w:p w14:paraId="670673E9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lastRenderedPageBreak/>
        <w:t xml:space="preserve">  Autenticación &amp; Identidad Digital</w:t>
      </w:r>
    </w:p>
    <w:p w14:paraId="7D99A08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Se integra con ROeID para la identificación digital de personas físicas, con prellenado automático de los datos del perfil ROeID en los formularios</w:t>
      </w:r>
    </w:p>
    <w:p w14:paraId="09B0ACD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Se integra con eIDAS para el reconocimiento de la identidad electrónica a nivel europeo</w:t>
      </w:r>
    </w:p>
    <w:p w14:paraId="59E3A4B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Se integra con ONRC para la obtención automática de datos de la empresa (nombre, NIF, representante legal) a través de la selección en SPV</w:t>
      </w:r>
    </w:p>
    <w:p w14:paraId="0D332746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Implementa cuentas diferenciadas por perfil: ciudadano, médico veterinario, empresa comercial — con funcionalidades e información específicas para cada perfil</w:t>
      </w:r>
    </w:p>
    <w:p w14:paraId="7E7668A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la autenticación mediante usuario y contraseña o acceso anónimo, con posibilidad de actualizar a una cuenta ROeID verificada</w:t>
      </w:r>
    </w:p>
    <w:p w14:paraId="1F994EF8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Flujo Digital Completo — de la Solicitud a la Confirmación</w:t>
      </w:r>
    </w:p>
    <w:p w14:paraId="57774F71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Guía al usuario a través de un asistente intuitivo de múltiples pasos con indicador visual de progreso</w:t>
      </w:r>
    </w:p>
    <w:p w14:paraId="172F899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Rellena automáticamente los campos del formulario con datos de ROeID y ONRC, eliminando la entrada manual redundante</w:t>
      </w:r>
    </w:p>
    <w:p w14:paraId="15BEB3D6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adjuntar documentos requeridos directamente desde el navegador, con validación de tipo y tamaño de archivo</w:t>
      </w:r>
    </w:p>
    <w:p w14:paraId="5005D8E1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Incluye un campo de mapa GIS integrado para la ubicación geográfica de solicitudes (coordenadas completadas automáticamente al hacer clic en el mapa)</w:t>
      </w:r>
    </w:p>
    <w:p w14:paraId="0B5E1C2A" w14:textId="77777777" w:rsidR="00C45A73" w:rsidRDefault="00C45A73">
      <w:pPr>
        <w:spacing w:after="100"/>
      </w:pPr>
    </w:p>
    <w:p w14:paraId="346B245E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27A53935" wp14:editId="34C7FB71">
            <wp:extent cx="4953000" cy="2400300"/>
            <wp:effectExtent l="19050" t="19050" r="19050" b="19050"/>
            <wp:docPr id="1254482943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40030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D5EEAF7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3 — Paso 1/4: Descripción del servicio AUT-01 con flujo guiado, plazos y adjuntos requeridos</w:t>
      </w:r>
    </w:p>
    <w:p w14:paraId="0D68BDC8" w14:textId="77777777" w:rsidR="00C45A73" w:rsidRDefault="00C45A73">
      <w:pPr>
        <w:spacing w:after="100"/>
      </w:pPr>
    </w:p>
    <w:p w14:paraId="0645500A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26F15409" wp14:editId="5D2FBC4D">
            <wp:extent cx="3552093" cy="2568436"/>
            <wp:effectExtent l="19050" t="19050" r="10795" b="22860"/>
            <wp:docPr id="1241125467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964" cy="2576297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C1C53D2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4 — Paso 2/4: Cumplimentación del formulario con mapa GIS, CUI/CIF completado automáticamente desde datos de ONRC y ROeID</w:t>
      </w:r>
    </w:p>
    <w:p w14:paraId="55C85E01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lastRenderedPageBreak/>
        <w:t xml:space="preserve">  Firma Manuscrita Digital &amp; Finalización</w:t>
      </w:r>
    </w:p>
    <w:p w14:paraId="02CB277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Incluye un módulo de firma manuscrita digital directamente en el navegador, con ratón o dedo en pantalla táctil</w:t>
      </w:r>
    </w:p>
    <w:p w14:paraId="46B6485D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la vista previa completa del formulario cumplimentado y firmado antes del envío</w:t>
      </w:r>
    </w:p>
    <w:p w14:paraId="5A02F7D8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Genera automáticamente el PDF de la solicitud firmada, disponible para descarga o envío por correo electrónico</w:t>
      </w:r>
    </w:p>
    <w:p w14:paraId="3EEB0511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Confirma el envío con un número de registro y permite el seguimiento del estado de la solicitud</w:t>
      </w:r>
    </w:p>
    <w:p w14:paraId="5C0FF0FD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72DD9AC6" wp14:editId="5480CF3B">
            <wp:extent cx="3021053" cy="1487287"/>
            <wp:effectExtent l="19050" t="19050" r="27305" b="17780"/>
            <wp:docPr id="1769576640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973" cy="1496109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A9CF432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5 — Firma manuscrita digital: capturada directamente en el navegador con ratón o pantalla táctil</w:t>
      </w:r>
    </w:p>
    <w:p w14:paraId="1CEB29F8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00E4036E" wp14:editId="11686160">
            <wp:extent cx="2920672" cy="2184888"/>
            <wp:effectExtent l="19050" t="19050" r="13335" b="25400"/>
            <wp:docPr id="1649915748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699" cy="2196878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4B5DF92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6 — Paso 4/4: Envío finalizado — descarga de PDF y entrega por correo electrónico</w:t>
      </w:r>
    </w:p>
    <w:p w14:paraId="504E9AA9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3. Accesibilidad WCAG &amp; Asistente de IA en Vivo</w:t>
      </w:r>
    </w:p>
    <w:p w14:paraId="72902F31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La plataforma cumple con el estándar WCAG de accesibilidad web e incluye un asistente de IA conversacional permanentemente disponible para los usuarios.</w:t>
      </w:r>
    </w:p>
    <w:p w14:paraId="206F56ED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Cumple con la Carta de los Derechos Fundamentales de la Unión Europea y el Art. 9 de la Convención de la ONU sobre los Derechos de las Personas con Discapacidad</w:t>
      </w:r>
    </w:p>
    <w:p w14:paraId="6A6679C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Ofrece un panel completo de opciones de accesibilidad: zoom de texto hacia dentro/fuera, alto contraste, modo oscuro, escala de grises, fuente legible, subrayar enlaces, cursor grande, detener animaciones</w:t>
      </w:r>
    </w:p>
    <w:p w14:paraId="785A52D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Soporta lectura de pantalla, navegación solo con teclado y contraste ajustable</w:t>
      </w:r>
    </w:p>
    <w:p w14:paraId="3C288E2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Incluye el Asistente de IA en Vivo disponible en la esquina de la página, activo 24/7, listo para guiar al usuario en la completación de cualquier servicio</w:t>
      </w:r>
    </w:p>
    <w:p w14:paraId="7AE2EAE6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El Asistente de IA opera en modo Human-in-the-Loop (HITL): puede transferir la conversación a un operador humano cuando la situación lo requiere</w:t>
      </w:r>
    </w:p>
    <w:p w14:paraId="1E1DCEC0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0DE10008" wp14:editId="2E0095C5">
            <wp:extent cx="3463140" cy="1664970"/>
            <wp:effectExtent l="19050" t="19050" r="23495" b="11430"/>
            <wp:docPr id="230471630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1044" cy="166877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8914C86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7 — Panel de accesibilidad WCAG y Asistente de IA en Vivo activo (HITL)</w:t>
      </w:r>
    </w:p>
    <w:p w14:paraId="7931BA65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lastRenderedPageBreak/>
        <w:t xml:space="preserve">  4. Administración &amp; Backend — VOGO eBS Services</w:t>
      </w:r>
    </w:p>
    <w:p w14:paraId="03C8AF81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La plataforma proporciona a los administradores un backend completo para crear, configurar y publicar servicios digitales.</w:t>
      </w:r>
    </w:p>
    <w:p w14:paraId="45019040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crear servicios desde plantillas predefinidas o desde cero, sin necesidad de escribir código</w:t>
      </w:r>
    </w:p>
    <w:p w14:paraId="6807BD6A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Configura plazos, costos, documentos requeridos, plantillas de formularios y flujos de aprobación por servicio</w:t>
      </w:r>
    </w:p>
    <w:p w14:paraId="0BFA875E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Gestiona el estado de cada servicio: Borrador → Publicado, con control granular de visibilidad</w:t>
      </w:r>
    </w:p>
    <w:p w14:paraId="2527DE4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Proporciona herramientas de monitorización del rendimiento de la plataforma, informes de tráfico y uso</w:t>
      </w:r>
    </w:p>
    <w:p w14:paraId="05879F1E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la gestión de cuentas de usuario, permisos y perfiles de acceso</w:t>
      </w:r>
    </w:p>
    <w:p w14:paraId="3EEFFA65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Incluye un Sistema de Gestión de Contenido (CMS) para la actualización rápida de información pública sin intervención técnica</w:t>
      </w:r>
    </w:p>
    <w:p w14:paraId="1765CCE3" w14:textId="77777777" w:rsidR="00C45A73" w:rsidRDefault="00C45A73">
      <w:pPr>
        <w:spacing w:after="100"/>
      </w:pPr>
    </w:p>
    <w:p w14:paraId="3771CBED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01A492E6" wp14:editId="7EDEE729">
            <wp:extent cx="4953000" cy="2247900"/>
            <wp:effectExtent l="19050" t="19050" r="19050" b="19050"/>
            <wp:docPr id="1940983371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24790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3A90410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8 — Backend de VOGO eBS Services: gestión de servicios, plantillas, estado y configuración</w:t>
      </w:r>
    </w:p>
    <w:p w14:paraId="260D9FCC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5. Aplicación Móvil — VOGO MAF (Mobile Application Framework)</w:t>
      </w:r>
    </w:p>
    <w:p w14:paraId="73B8219C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VOGO eBS Gov Series™ incluye aplicaciones móviles nativas para iOS y Android destinadas a ciudadanos, conectadas al mismo ecosistema del portal.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3506"/>
      </w:tblGrid>
      <w:tr w:rsidR="00C45A73" w14:paraId="5E2A71AF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0" w:type="dxa"/>
              <w:bottom w:w="80" w:type="dxa"/>
              <w:right w:w="200" w:type="dxa"/>
            </w:tcMar>
          </w:tcPr>
          <w:p w14:paraId="79EE48F7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Permite el acceso a todos los servicios públicos relevantes del portal directamente desde el dispositivo móvil</w:t>
            </w:r>
          </w:p>
          <w:p w14:paraId="45723021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Diseño completamente responsivo, adaptado automáticamente a los tamaños de pantalla de teléfonos y tabletas</w:t>
            </w:r>
          </w:p>
          <w:p w14:paraId="48AD3A54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Permite el trabajo sin conexión: entrada de datos y eventos guardados localmente en el dispositivo, con sincronización automática al reconectarse</w:t>
            </w:r>
          </w:p>
          <w:p w14:paraId="38A38846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Envía notificaciones push al ciudadano ante cualquier cambio o avance en sus solicitudes</w:t>
            </w:r>
          </w:p>
          <w:p w14:paraId="74AFC483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Garantiza la comunicación exclusivamente a través de canales seguros (SSL/TLS) entre el terminal y los servidores</w:t>
            </w:r>
          </w:p>
          <w:p w14:paraId="1612C2B0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Permite la autenticación del agricultor mediante 3 datos: código de explotación, últimos dígitos del documento de identidad, etiqueta de animal del registro</w:t>
            </w:r>
          </w:p>
          <w:p w14:paraId="68C39F65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Permite la consulta del registro actualizado de explotaciones, incluso en modo sin conexión</w:t>
            </w:r>
          </w:p>
          <w:p w14:paraId="33C6CE24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Soporta firma manuscrita digital directamente en la pantalla táctil del dispositivo móvil</w:t>
            </w:r>
          </w:p>
          <w:p w14:paraId="6CDF1CDB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Genera y envía PDF firmados directamente al correo electrónico desde la aplicación</w:t>
            </w:r>
          </w:p>
        </w:tc>
        <w:tc>
          <w:tcPr>
            <w:tcW w:w="3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662FF56" w14:textId="77777777" w:rsidR="00C45A73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8D85D7" wp14:editId="2073898D">
                  <wp:extent cx="1387720" cy="2497896"/>
                  <wp:effectExtent l="19050" t="19050" r="22225" b="17145"/>
                  <wp:docPr id="109449589" name="mobile" descr="Aplicatie mobila VOGO Gov" title="Mobi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106" cy="252199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EA50CB" w14:textId="77777777" w:rsidR="00C45A73" w:rsidRDefault="00000000">
            <w:pPr>
              <w:spacing w:before="6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6"/>
                <w:szCs w:val="16"/>
              </w:rPr>
              <w:t>Diseño responsivo — vista móvil</w:t>
            </w:r>
          </w:p>
        </w:tc>
      </w:tr>
    </w:tbl>
    <w:p w14:paraId="1D581CAB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6. Seguridad &amp; Conformidad con el RGPD</w:t>
      </w:r>
    </w:p>
    <w:p w14:paraId="58509AA5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Implementa autenticación y autorización robustas con perfiles diferenciados: ciudadano, profesional autorizado, empresa comercial</w:t>
      </w:r>
    </w:p>
    <w:p w14:paraId="27499392" w14:textId="77777777" w:rsidR="00C45A73" w:rsidRDefault="00000000">
      <w:pPr>
        <w:spacing w:after="60"/>
      </w:pPr>
      <w:r>
        <w:rPr>
          <w:b/>
          <w:bCs/>
          <w:color w:val="0070C0"/>
        </w:rPr>
        <w:lastRenderedPageBreak/>
        <w:t xml:space="preserve">▸  </w:t>
      </w:r>
      <w:r>
        <w:rPr>
          <w:rFonts w:ascii="Arial" w:eastAsia="Arial" w:hAnsi="Arial" w:cs="Arial"/>
          <w:color w:val="444444"/>
        </w:rPr>
        <w:t>Cifra todas las comunicaciones entre el usuario y los servidores mediante SSL/TLS</w:t>
      </w:r>
    </w:p>
    <w:p w14:paraId="4CAF0388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Almacena datos personales y comerciales de forma segura, con auditorías periódicas y mecanismos avanzados de monitorización</w:t>
      </w:r>
    </w:p>
    <w:p w14:paraId="71275AC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Cumple plenamente con los requisitos del RGPD para la protección de datos personales</w:t>
      </w:r>
    </w:p>
    <w:p w14:paraId="0DD2BDD2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Garantiza un registro de auditoría completo de todas las acciones en la plataforma</w:t>
      </w:r>
    </w:p>
    <w:p w14:paraId="68C8CADF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Integra ROeID y eIDAS para la identificación digital verificada a nivel nacional y europeo</w:t>
      </w:r>
    </w:p>
    <w:p w14:paraId="7A1BC5F1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7. Integraciones Compatibles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C45A73" w14:paraId="6978B1E0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85B533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ROeID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8528BD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Identificación digital de personas físicas, prellenado de datos del formulario, NIF enmascarado</w:t>
            </w:r>
          </w:p>
        </w:tc>
      </w:tr>
      <w:tr w:rsidR="00C45A73" w14:paraId="049DCB02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4CC8B2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eIDAS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BC4B33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Reconocimiento de la identidad electrónica a nivel europeo</w:t>
            </w:r>
          </w:p>
        </w:tc>
      </w:tr>
      <w:tr w:rsidR="00C45A73" w14:paraId="7DEE6356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81B949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ONRC / SPV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ADE9C7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Obtención automática de datos de la empresa: nombre, NIF, representante legal</w:t>
            </w:r>
          </w:p>
        </w:tc>
      </w:tr>
      <w:tr w:rsidR="00C45A73" w14:paraId="703D3630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65D7BF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Módulo GIS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129DD2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Campo de mapa interactivo en formularios, geocodificación de direcciones, ubicación de solicitudes</w:t>
            </w:r>
          </w:p>
        </w:tc>
      </w:tr>
      <w:tr w:rsidR="00C45A73" w14:paraId="44D1373A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54B26A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DMS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4D8AC4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Expediente electrónico persistente por solicitante, visible en todos los módulos de la plataforma</w:t>
            </w:r>
          </w:p>
        </w:tc>
      </w:tr>
      <w:tr w:rsidR="00C45A73" w14:paraId="22F7D9E5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40847D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Chatbot IA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276FC6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Asistente en vivo 24/7, HITL, orientación en la cumplimentación de formularios, soporte multicanal</w:t>
            </w:r>
          </w:p>
        </w:tc>
      </w:tr>
      <w:tr w:rsidR="00C45A73" w14:paraId="3E36127D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6EED4D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Correo / SMS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9264E9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Notificaciones automáticas de estado de solicitudes, entrega de PDF firmado, confirmaciones</w:t>
            </w:r>
          </w:p>
        </w:tc>
      </w:tr>
      <w:tr w:rsidR="00C45A73" w14:paraId="46B785CD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702911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Sistema de Pago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E43AFB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Pago de tasas y tarifas asociadas a los servicios directamente desde el portal</w:t>
            </w:r>
          </w:p>
        </w:tc>
      </w:tr>
    </w:tbl>
    <w:p w14:paraId="0994E26B" w14:textId="77777777" w:rsidR="00C45A73" w:rsidRDefault="00C45A73">
      <w:pPr>
        <w:spacing w:after="100"/>
      </w:pPr>
    </w:p>
    <w:p w14:paraId="4793D956" w14:textId="77777777" w:rsidR="008A0357" w:rsidRDefault="008A0357">
      <w:pPr>
        <w:spacing w:after="100"/>
      </w:pPr>
    </w:p>
    <w:p w14:paraId="527636F1" w14:textId="77777777" w:rsidR="00AE23CA" w:rsidRPr="005D122B" w:rsidRDefault="00AE23CA" w:rsidP="00AE23CA">
      <w:pPr>
        <w:shd w:val="clear" w:color="auto" w:fill="1B3F7F"/>
        <w:spacing w:before="320" w:after="120"/>
        <w:rPr>
          <w:rFonts w:ascii="Arial" w:eastAsia="Arial" w:hAnsi="Arial" w:cs="Arial"/>
          <w:b/>
          <w:bCs/>
          <w:color w:val="FFFFFF"/>
          <w:sz w:val="24"/>
          <w:szCs w:val="24"/>
        </w:rPr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  Industrias &amp; Aplicaciones Comunes</w:t>
      </w:r>
    </w:p>
    <w:p w14:paraId="064C269B" w14:textId="77777777" w:rsidR="008A0357" w:rsidRDefault="008A0357" w:rsidP="00AE23CA">
      <w:pPr>
        <w:spacing w:after="80"/>
        <w:rPr>
          <w:rFonts w:ascii="Arial" w:eastAsia="Arial" w:hAnsi="Arial" w:cs="Arial"/>
          <w:color w:val="444444"/>
        </w:rPr>
      </w:pPr>
    </w:p>
    <w:p w14:paraId="1C269C36" w14:textId="0E058F03" w:rsidR="00AE23CA" w:rsidRDefault="00AE23CA" w:rsidP="00AE23CA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El módulo de eAdministración es más frecuentemente solicitado en organizaciones que gestionan una relación intensiva con los ciudadanos y el entorno empresarial — donde existe un gran volumen de interacciones repetitivas, formularios estandarizables y presión de digitalización derivada de las directivas europeas:</w:t>
      </w:r>
    </w:p>
    <w:p w14:paraId="527FA5B2" w14:textId="77777777" w:rsidR="008A0357" w:rsidRPr="005D122B" w:rsidRDefault="008A0357" w:rsidP="00AE23CA">
      <w:pPr>
        <w:spacing w:after="80"/>
        <w:rPr>
          <w:rFonts w:ascii="Arial" w:eastAsia="Arial" w:hAnsi="Arial" w:cs="Arial"/>
          <w:color w:val="444444"/>
        </w:rPr>
      </w:pPr>
    </w:p>
    <w:p w14:paraId="6B9CE6AF" w14:textId="03E03D47" w:rsidR="00AE23CA" w:rsidRDefault="00AE23CA" w:rsidP="00B31606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Administración Pública Local &amp; Central</w:t>
      </w:r>
      <w:r>
        <w:rPr>
          <w:rFonts w:ascii="Arial" w:eastAsia="Arial" w:hAnsi="Arial" w:cs="Arial"/>
          <w:color w:val="444444"/>
        </w:rPr>
        <w:t>; Municipios, consejos comarcales, prefecturas — emisión de licencias de obra, certificados de planificación urbana, registro de eventos, solicitudes de información pública, pago en línea de impuestos y tasas locales, etc.</w:t>
      </w:r>
    </w:p>
    <w:p w14:paraId="171A5426" w14:textId="343A3ADC" w:rsidR="00AE23CA" w:rsidRDefault="00AE23CA" w:rsidP="00925ED8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Salud Pública &amp; Veterinaria</w:t>
      </w:r>
      <w:r>
        <w:rPr>
          <w:rFonts w:ascii="Arial" w:eastAsia="Arial" w:hAnsi="Arial" w:cs="Arial"/>
          <w:color w:val="444444"/>
        </w:rPr>
        <w:t>; autorización de unidades, hospitales, médicos, citas, informes, inspecciones y controles oficiales, emisión de documentos, trazabilidad, elementos relacionados con la salud pública.</w:t>
      </w:r>
    </w:p>
    <w:p w14:paraId="11FF05D0" w14:textId="6128809C" w:rsidR="00AE23CA" w:rsidRDefault="00AE23CA" w:rsidP="00925ED8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Agricultura &amp; Medio Ambiente</w:t>
      </w:r>
      <w:r>
        <w:rPr>
          <w:rFonts w:ascii="Arial" w:eastAsia="Arial" w:hAnsi="Arial" w:cs="Arial"/>
          <w:color w:val="444444"/>
        </w:rPr>
        <w:t>; solicitudes de subvenciones, declaraciones de tierras agrícolas, informes medioambientales, permisos ambientales, seguimiento de explotaciones, gestión del registro de agricultores.</w:t>
      </w:r>
    </w:p>
    <w:p w14:paraId="0F12EED6" w14:textId="64584943" w:rsidR="00AE23CA" w:rsidRDefault="00AE23CA" w:rsidP="00925ED8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Educación</w:t>
      </w:r>
      <w:r>
        <w:rPr>
          <w:rFonts w:ascii="Arial" w:eastAsia="Arial" w:hAnsi="Arial" w:cs="Arial"/>
          <w:color w:val="444444"/>
        </w:rPr>
        <w:t>; Inspectorías escolares, universidades — inscripción en línea, solicitudes de becas, reconocimiento de diplomas, informes estadísticos, comunicación con padres y estudiantes, gestión de documentos académicos.</w:t>
      </w:r>
    </w:p>
    <w:p w14:paraId="2FB429CC" w14:textId="0A3A59E2" w:rsidR="00AE23CA" w:rsidRDefault="00AE23CA" w:rsidP="004B2B89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Salud Humana</w:t>
      </w:r>
      <w:r>
        <w:rPr>
          <w:rFonts w:ascii="Arial" w:eastAsia="Arial" w:hAnsi="Arial" w:cs="Arial"/>
          <w:color w:val="444444"/>
        </w:rPr>
        <w:t>; Fondos comarcales de seguros de salud, hospitales públicos — citas en línea, solicitudes de reembolso, registro de proveedores de atención médica, informes contractuales con la Caja del Seguro de Salud.</w:t>
      </w:r>
    </w:p>
    <w:p w14:paraId="2A6DC88E" w14:textId="182A60D8" w:rsidR="00AE23CA" w:rsidRDefault="00AE23CA" w:rsidP="00883A75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Servicios Públicos &amp; Infraestructuras</w:t>
      </w:r>
      <w:r>
        <w:rPr>
          <w:rFonts w:ascii="Arial" w:eastAsia="Arial" w:hAnsi="Arial" w:cs="Arial"/>
          <w:color w:val="444444"/>
        </w:rPr>
        <w:t>; Operadores de agua, calefacción y saneamiento — solicitudes de conexión, informes de averías, lecturas de contadores en línea, pagos de facturas, notificaciones de interrupción del servicio, portal público ciudadano.</w:t>
      </w:r>
    </w:p>
    <w:p w14:paraId="5B7BB9D9" w14:textId="7323024D" w:rsidR="00AE23CA" w:rsidRDefault="00AE23CA" w:rsidP="00C42C4C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Orden Público &amp; Seguridad</w:t>
      </w:r>
      <w:r>
        <w:rPr>
          <w:rFonts w:ascii="Arial" w:eastAsia="Arial" w:hAnsi="Arial" w:cs="Arial"/>
          <w:color w:val="444444"/>
        </w:rPr>
        <w:t>; Policía local, servicios de emergencia, protección civil — solicitudes de permisos de eventos, notificación de incidentes, solicitudes de autorización para actividades de alto riesgo, gestión de expedientes de intervención.</w:t>
      </w:r>
    </w:p>
    <w:p w14:paraId="63A0CE81" w14:textId="5DA00CE8" w:rsidR="00AE23CA" w:rsidRDefault="00AE23CA" w:rsidP="008D3AE6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Registros Nacionales &amp; Habilitación Profesional</w:t>
      </w:r>
      <w:r>
        <w:rPr>
          <w:rFonts w:ascii="Arial" w:eastAsia="Arial" w:hAnsi="Arial" w:cs="Arial"/>
          <w:color w:val="444444"/>
        </w:rPr>
        <w:t>; Colegios profesionales (médicos, abogados, arquitectos, farmacéuticos) — registro de miembros, renovación de habilitaciones, informes de CPD, comunicación con miembros, publicación de registros públicos.</w:t>
      </w:r>
    </w:p>
    <w:p w14:paraId="618F3D4D" w14:textId="792515D1" w:rsidR="00AE23CA" w:rsidRDefault="00AE23CA" w:rsidP="008A0357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lastRenderedPageBreak/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Transporte &amp; Logística Pública</w:t>
      </w:r>
      <w:r>
        <w:rPr>
          <w:rFonts w:ascii="Arial" w:eastAsia="Arial" w:hAnsi="Arial" w:cs="Arial"/>
          <w:color w:val="444444"/>
        </w:rPr>
        <w:t>; autoridades viales, autoridades portuarias/aeroportuarias, organismos públicos — autorizaciones de transporte, inspecciones técnicas, licencias de operador, notificación de incidentes, certificados de conformidad de vehículos.</w:t>
      </w:r>
    </w:p>
    <w:p w14:paraId="26EAE027" w14:textId="03C1874C" w:rsidR="00AE23CA" w:rsidRDefault="00AE23CA" w:rsidP="00AE23CA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color w:val="444444"/>
        </w:rPr>
        <w:t>Solicite más información si su sector no está indicado arriba</w:t>
      </w:r>
    </w:p>
    <w:p w14:paraId="76B0E747" w14:textId="77777777" w:rsidR="008A0357" w:rsidRDefault="008A0357" w:rsidP="00AE23CA">
      <w:pPr>
        <w:spacing w:after="80"/>
        <w:rPr>
          <w:rFonts w:ascii="Arial" w:eastAsia="Arial" w:hAnsi="Arial" w:cs="Arial"/>
          <w:color w:val="444444"/>
        </w:rPr>
      </w:pPr>
    </w:p>
    <w:p w14:paraId="37D3C696" w14:textId="77777777" w:rsidR="00AE23CA" w:rsidRDefault="00AE23CA">
      <w:pPr>
        <w:spacing w:after="100"/>
      </w:pPr>
    </w:p>
    <w:sectPr w:rsidR="00AE23CA">
      <w:footerReference w:type="default" r:id="rId16"/>
      <w:pgSz w:w="11906" w:h="16838"/>
      <w:pgMar w:top="720" w:right="800" w:bottom="720" w:left="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D34E0" w14:textId="77777777" w:rsidR="0040659D" w:rsidRDefault="0040659D" w:rsidP="008D04D0">
      <w:r>
        <w:separator/>
      </w:r>
    </w:p>
  </w:endnote>
  <w:endnote w:type="continuationSeparator" w:id="0">
    <w:p w14:paraId="136AEF50" w14:textId="77777777" w:rsidR="0040659D" w:rsidRDefault="0040659D" w:rsidP="008D0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E782C" w14:textId="5F51DACF" w:rsidR="008D04D0" w:rsidRDefault="008D04D0" w:rsidP="008D04D0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C1FF8" w14:textId="77777777" w:rsidR="0040659D" w:rsidRDefault="0040659D" w:rsidP="008D04D0">
      <w:r>
        <w:separator/>
      </w:r>
    </w:p>
  </w:footnote>
  <w:footnote w:type="continuationSeparator" w:id="0">
    <w:p w14:paraId="42B06EF2" w14:textId="77777777" w:rsidR="0040659D" w:rsidRDefault="0040659D" w:rsidP="008D04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3458F"/>
    <w:multiLevelType w:val="hybridMultilevel"/>
    <w:tmpl w:val="7170301C"/>
    <w:lvl w:ilvl="0" w:tplc="03E6CCA6">
      <w:start w:val="1"/>
      <w:numFmt w:val="bullet"/>
      <w:lvlText w:val="●"/>
      <w:lvlJc w:val="left"/>
      <w:pPr>
        <w:ind w:left="720" w:hanging="360"/>
      </w:pPr>
    </w:lvl>
    <w:lvl w:ilvl="1" w:tplc="9064DCFA">
      <w:start w:val="1"/>
      <w:numFmt w:val="bullet"/>
      <w:lvlText w:val="○"/>
      <w:lvlJc w:val="left"/>
      <w:pPr>
        <w:ind w:left="1440" w:hanging="360"/>
      </w:pPr>
    </w:lvl>
    <w:lvl w:ilvl="2" w:tplc="078E35D2">
      <w:start w:val="1"/>
      <w:numFmt w:val="bullet"/>
      <w:lvlText w:val="■"/>
      <w:lvlJc w:val="left"/>
      <w:pPr>
        <w:ind w:left="2160" w:hanging="360"/>
      </w:pPr>
    </w:lvl>
    <w:lvl w:ilvl="3" w:tplc="47D4168C">
      <w:start w:val="1"/>
      <w:numFmt w:val="bullet"/>
      <w:lvlText w:val="●"/>
      <w:lvlJc w:val="left"/>
      <w:pPr>
        <w:ind w:left="2880" w:hanging="360"/>
      </w:pPr>
    </w:lvl>
    <w:lvl w:ilvl="4" w:tplc="61B6E732">
      <w:start w:val="1"/>
      <w:numFmt w:val="bullet"/>
      <w:lvlText w:val="○"/>
      <w:lvlJc w:val="left"/>
      <w:pPr>
        <w:ind w:left="3600" w:hanging="360"/>
      </w:pPr>
    </w:lvl>
    <w:lvl w:ilvl="5" w:tplc="09BE2C86">
      <w:start w:val="1"/>
      <w:numFmt w:val="bullet"/>
      <w:lvlText w:val="■"/>
      <w:lvlJc w:val="left"/>
      <w:pPr>
        <w:ind w:left="4320" w:hanging="360"/>
      </w:pPr>
    </w:lvl>
    <w:lvl w:ilvl="6" w:tplc="63E6CAD4">
      <w:start w:val="1"/>
      <w:numFmt w:val="bullet"/>
      <w:lvlText w:val="●"/>
      <w:lvlJc w:val="left"/>
      <w:pPr>
        <w:ind w:left="5040" w:hanging="360"/>
      </w:pPr>
    </w:lvl>
    <w:lvl w:ilvl="7" w:tplc="B1160976">
      <w:start w:val="1"/>
      <w:numFmt w:val="bullet"/>
      <w:lvlText w:val="●"/>
      <w:lvlJc w:val="left"/>
      <w:pPr>
        <w:ind w:left="5760" w:hanging="360"/>
      </w:pPr>
    </w:lvl>
    <w:lvl w:ilvl="8" w:tplc="3790E3CA">
      <w:start w:val="1"/>
      <w:numFmt w:val="bullet"/>
      <w:lvlText w:val="●"/>
      <w:lvlJc w:val="left"/>
      <w:pPr>
        <w:ind w:left="6480" w:hanging="360"/>
      </w:pPr>
    </w:lvl>
  </w:abstractNum>
  <w:num w:numId="1" w16cid:durableId="17538757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A73"/>
    <w:rsid w:val="00113D62"/>
    <w:rsid w:val="00145786"/>
    <w:rsid w:val="00175D6B"/>
    <w:rsid w:val="001C47A7"/>
    <w:rsid w:val="0023472D"/>
    <w:rsid w:val="002418B7"/>
    <w:rsid w:val="003332F8"/>
    <w:rsid w:val="0037720F"/>
    <w:rsid w:val="0040659D"/>
    <w:rsid w:val="00452FCC"/>
    <w:rsid w:val="004B2B89"/>
    <w:rsid w:val="005477E7"/>
    <w:rsid w:val="00674162"/>
    <w:rsid w:val="00883A75"/>
    <w:rsid w:val="008A0357"/>
    <w:rsid w:val="008A121F"/>
    <w:rsid w:val="008D04D0"/>
    <w:rsid w:val="008D3AE6"/>
    <w:rsid w:val="00925ED8"/>
    <w:rsid w:val="009318C4"/>
    <w:rsid w:val="00A62B5B"/>
    <w:rsid w:val="00AE23CA"/>
    <w:rsid w:val="00B31606"/>
    <w:rsid w:val="00BF2DEB"/>
    <w:rsid w:val="00C42C4C"/>
    <w:rsid w:val="00C45A73"/>
    <w:rsid w:val="00C6018D"/>
    <w:rsid w:val="00C762CC"/>
    <w:rsid w:val="00D6464C"/>
    <w:rsid w:val="00F6143E"/>
    <w:rsid w:val="00FB1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23EB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D04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04D0"/>
  </w:style>
  <w:style w:type="paragraph" w:styleId="Footer">
    <w:name w:val="footer"/>
    <w:basedOn w:val="Normal"/>
    <w:link w:val="FooterChar"/>
    <w:uiPriority w:val="99"/>
    <w:unhideWhenUsed/>
    <w:rsid w:val="008D04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0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1667</Words>
  <Characters>9505</Characters>
  <Application>Microsoft Office Word</Application>
  <DocSecurity>0</DocSecurity>
  <Lines>79</Lines>
  <Paragraphs>22</Paragraphs>
  <ScaleCrop>false</ScaleCrop>
  <Company/>
  <LinksUpToDate>false</LinksUpToDate>
  <CharactersWithSpaces>11150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Adrian Barcutean | vogo.me</cp:lastModifiedBy>
  <cp:revision>31</cp:revision>
  <dcterms:created xsi:type="dcterms:W3CDTF">2026-05-28T21:18:00Z</dcterms:created>
  <dcterms:modified xsi:type="dcterms:W3CDTF">2026-05-28T23:53:00Z</dcterms:modified>
</cp:coreProperties>
</file>